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BF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>Normativa di riferimento</w:t>
      </w:r>
      <w:r>
        <w:rPr>
          <w:b/>
          <w:bCs/>
        </w:rPr>
        <w:t>:</w:t>
      </w:r>
    </w:p>
    <w:p w:rsidR="00480272" w:rsidRPr="009404BC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>NTC 20</w:t>
      </w:r>
      <w:r>
        <w:rPr>
          <w:b/>
          <w:bCs/>
        </w:rPr>
        <w:t>1</w:t>
      </w:r>
      <w:r w:rsidRPr="0087199B">
        <w:rPr>
          <w:b/>
          <w:bCs/>
        </w:rPr>
        <w:t>8</w:t>
      </w:r>
      <w:r>
        <w:rPr>
          <w:b/>
          <w:bCs/>
        </w:rPr>
        <w:t>:</w:t>
      </w:r>
      <w:r w:rsidRPr="0087199B">
        <w:rPr>
          <w:b/>
          <w:bCs/>
        </w:rPr>
        <w:t xml:space="preserve"> </w:t>
      </w:r>
      <w:r w:rsidRPr="0087199B">
        <w:t>Norme tecniche per le costruzioni D.M.</w:t>
      </w:r>
      <w:r>
        <w:t xml:space="preserve"> 17 Gennaio 2018</w:t>
      </w:r>
    </w:p>
    <w:p w:rsidR="00BA15CA" w:rsidRDefault="00BA15CA" w:rsidP="00E920BF">
      <w:pPr>
        <w:jc w:val="both"/>
        <w:rPr>
          <w:bCs/>
          <w:color w:val="000000"/>
        </w:rPr>
      </w:pPr>
    </w:p>
    <w:p w:rsid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Per i muri di sostegno </w:t>
      </w:r>
      <w:r w:rsidRPr="00272B39">
        <w:rPr>
          <w:b/>
          <w:bCs/>
          <w:color w:val="000000"/>
        </w:rPr>
        <w:t>o per altre strutture miste ad essi assimilabili</w:t>
      </w:r>
      <w:r w:rsidRPr="00272B39">
        <w:rPr>
          <w:bCs/>
          <w:color w:val="000000"/>
        </w:rPr>
        <w:t xml:space="preserve"> devono essere effettuate le verifiche con riferimento almeno ai seguenti stati limite, accertando che la condizione [6.2.1] sia soddisfatta per ogni stato limite considerato: </w:t>
      </w:r>
    </w:p>
    <w:p w:rsidR="00272B39" w:rsidRPr="00272B39" w:rsidRDefault="00272B39" w:rsidP="00272B39">
      <w:pPr>
        <w:jc w:val="both"/>
        <w:rPr>
          <w:bCs/>
          <w:color w:val="000000"/>
        </w:rPr>
      </w:pPr>
    </w:p>
    <w:p w:rsidR="00272B39" w:rsidRPr="00272B39" w:rsidRDefault="00272B39" w:rsidP="00272B39">
      <w:pPr>
        <w:jc w:val="both"/>
        <w:rPr>
          <w:b/>
          <w:bCs/>
          <w:color w:val="000000"/>
        </w:rPr>
      </w:pPr>
      <w:r w:rsidRPr="00272B39">
        <w:rPr>
          <w:b/>
          <w:bCs/>
          <w:color w:val="000000"/>
        </w:rPr>
        <w:t xml:space="preserve">SLU di tipo geotecnico (GEO) </w:t>
      </w: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- scorrimento sul piano di posa; </w:t>
      </w: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- collasso per carico limite del complesso fondazione-terreno;  </w:t>
      </w: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- ribaltamento; </w:t>
      </w: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- stabilità globale del complesso opera di sostegno-terreno; </w:t>
      </w:r>
    </w:p>
    <w:p w:rsidR="00272B39" w:rsidRPr="00272B39" w:rsidRDefault="00272B39" w:rsidP="00272B39">
      <w:pPr>
        <w:jc w:val="both"/>
        <w:rPr>
          <w:bCs/>
          <w:color w:val="000000"/>
        </w:rPr>
      </w:pPr>
    </w:p>
    <w:p w:rsid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>La verifica di stabilità globale del complesso opera di sostegno-terreno deve essere effettuata, analogamen</w:t>
      </w:r>
      <w:r>
        <w:rPr>
          <w:bCs/>
          <w:color w:val="000000"/>
        </w:rPr>
        <w:t xml:space="preserve">te a quanto previsto al § 6.8, </w:t>
      </w:r>
      <w:r w:rsidRPr="00272B39">
        <w:rPr>
          <w:bCs/>
          <w:color w:val="000000"/>
        </w:rPr>
        <w:t xml:space="preserve">secondo l’Approccio 1, con la Combinazione </w:t>
      </w:r>
      <w:proofErr w:type="gramStart"/>
      <w:r w:rsidRPr="00272B39">
        <w:rPr>
          <w:bCs/>
          <w:color w:val="000000"/>
        </w:rPr>
        <w:t xml:space="preserve">2  </w:t>
      </w:r>
      <w:r w:rsidRPr="00272B39">
        <w:rPr>
          <w:b/>
          <w:bCs/>
          <w:color w:val="000000"/>
        </w:rPr>
        <w:t>(</w:t>
      </w:r>
      <w:proofErr w:type="gramEnd"/>
      <w:r w:rsidRPr="00272B39">
        <w:rPr>
          <w:b/>
          <w:bCs/>
          <w:color w:val="000000"/>
        </w:rPr>
        <w:t>A2+M2+R2)</w:t>
      </w:r>
      <w:r w:rsidRPr="00272B39">
        <w:rPr>
          <w:bCs/>
          <w:color w:val="000000"/>
        </w:rPr>
        <w:t>, tenendo conto dei coefficienti parziali riportati nelle Tabelle 6.2.I e 6.2.II per le azioni e i parametri geotecnici e nella Tab. 6.8.I per le verifiche di sicurezza di opere di materiali sciolti e fronti di scavo.</w:t>
      </w:r>
    </w:p>
    <w:p w:rsidR="00272B39" w:rsidRPr="00272B39" w:rsidRDefault="00272B39" w:rsidP="00272B39">
      <w:pPr>
        <w:jc w:val="both"/>
        <w:rPr>
          <w:bCs/>
          <w:color w:val="000000"/>
        </w:rPr>
      </w:pPr>
    </w:p>
    <w:p w:rsidR="00272B39" w:rsidRDefault="00272B39" w:rsidP="00272B39">
      <w:pPr>
        <w:ind w:left="284"/>
        <w:rPr>
          <w:bCs/>
          <w:color w:val="000000"/>
          <w:sz w:val="16"/>
          <w:szCs w:val="16"/>
        </w:rPr>
      </w:pPr>
      <w:r w:rsidRPr="0066532E">
        <w:rPr>
          <w:b/>
          <w:bCs/>
          <w:color w:val="000000"/>
          <w:sz w:val="16"/>
          <w:szCs w:val="16"/>
        </w:rPr>
        <w:t>Tab. 6.2.I</w:t>
      </w:r>
      <w:r w:rsidRPr="0066532E">
        <w:rPr>
          <w:bCs/>
          <w:color w:val="000000"/>
          <w:sz w:val="16"/>
          <w:szCs w:val="16"/>
        </w:rPr>
        <w:t xml:space="preserve"> – Coefficienti parziali per le azioni o per l’effetto delle azioni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701"/>
        <w:gridCol w:w="567"/>
        <w:gridCol w:w="567"/>
        <w:gridCol w:w="599"/>
      </w:tblGrid>
      <w:tr w:rsidR="00272B39" w:rsidRPr="00700C35" w:rsidTr="00554E7E">
        <w:tc>
          <w:tcPr>
            <w:tcW w:w="1951" w:type="dxa"/>
            <w:shd w:val="clear" w:color="auto" w:fill="D9D9D9"/>
          </w:tcPr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</w:tcPr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Effetto</w:t>
            </w:r>
          </w:p>
        </w:tc>
        <w:tc>
          <w:tcPr>
            <w:tcW w:w="1701" w:type="dxa"/>
            <w:shd w:val="clear" w:color="auto" w:fill="D9D9D9"/>
          </w:tcPr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Coefficiente Parziale</w:t>
            </w:r>
          </w:p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/>
                <w:bCs/>
                <w:color w:val="000000"/>
                <w:sz w:val="16"/>
                <w:szCs w:val="16"/>
                <w:vertAlign w:val="subscript"/>
              </w:rPr>
              <w:t>F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 xml:space="preserve"> (o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/>
                <w:bCs/>
                <w:color w:val="000000"/>
                <w:sz w:val="16"/>
                <w:szCs w:val="16"/>
                <w:vertAlign w:val="subscript"/>
              </w:rPr>
              <w:t>E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EQU</w:t>
            </w:r>
          </w:p>
        </w:tc>
        <w:tc>
          <w:tcPr>
            <w:tcW w:w="567" w:type="dxa"/>
            <w:shd w:val="clear" w:color="auto" w:fill="D9D9D9"/>
          </w:tcPr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(A1)</w:t>
            </w:r>
          </w:p>
        </w:tc>
        <w:tc>
          <w:tcPr>
            <w:tcW w:w="599" w:type="dxa"/>
            <w:shd w:val="clear" w:color="auto" w:fill="D9D9D9"/>
          </w:tcPr>
          <w:p w:rsidR="00272B39" w:rsidRPr="00700C35" w:rsidRDefault="00272B39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(A2)</w:t>
            </w:r>
          </w:p>
        </w:tc>
      </w:tr>
      <w:tr w:rsidR="00272B39" w:rsidRPr="00700C35" w:rsidTr="00554E7E">
        <w:tc>
          <w:tcPr>
            <w:tcW w:w="1951" w:type="dxa"/>
            <w:vMerge w:val="restart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Carichi permanenti G</w:t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Favorevole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G1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99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272B39" w:rsidRPr="00700C35" w:rsidTr="00554E7E">
        <w:tc>
          <w:tcPr>
            <w:tcW w:w="1951" w:type="dxa"/>
            <w:vMerge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Sfavorevole</w:t>
            </w:r>
          </w:p>
        </w:tc>
        <w:tc>
          <w:tcPr>
            <w:tcW w:w="1701" w:type="dxa"/>
            <w:vMerge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99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272B39" w:rsidRPr="00700C35" w:rsidTr="00554E7E">
        <w:tc>
          <w:tcPr>
            <w:tcW w:w="1951" w:type="dxa"/>
            <w:vMerge w:val="restart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Carichi permanenti G</w:t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2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00C35">
              <w:rPr>
                <w:bCs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92" w:type="dxa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Favorevole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G2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99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0.8</w:t>
            </w:r>
          </w:p>
        </w:tc>
      </w:tr>
      <w:tr w:rsidR="00272B39" w:rsidRPr="00700C35" w:rsidTr="00554E7E">
        <w:tc>
          <w:tcPr>
            <w:tcW w:w="1951" w:type="dxa"/>
            <w:vMerge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Sfavorevole</w:t>
            </w:r>
          </w:p>
        </w:tc>
        <w:tc>
          <w:tcPr>
            <w:tcW w:w="1701" w:type="dxa"/>
            <w:vMerge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99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1.3</w:t>
            </w:r>
          </w:p>
        </w:tc>
      </w:tr>
      <w:tr w:rsidR="00272B39" w:rsidRPr="00700C35" w:rsidTr="00554E7E">
        <w:tc>
          <w:tcPr>
            <w:tcW w:w="1951" w:type="dxa"/>
            <w:vMerge w:val="restart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Azioni variabili Q</w:t>
            </w:r>
          </w:p>
        </w:tc>
        <w:tc>
          <w:tcPr>
            <w:tcW w:w="992" w:type="dxa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Favorevole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Qi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9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272B39" w:rsidRPr="00700C35" w:rsidTr="00554E7E">
        <w:tc>
          <w:tcPr>
            <w:tcW w:w="1951" w:type="dxa"/>
            <w:vMerge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72B39" w:rsidRPr="00700C35" w:rsidRDefault="00272B39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Sfavorevole</w:t>
            </w:r>
          </w:p>
        </w:tc>
        <w:tc>
          <w:tcPr>
            <w:tcW w:w="1701" w:type="dxa"/>
            <w:vMerge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99" w:type="dxa"/>
            <w:shd w:val="clear" w:color="auto" w:fill="auto"/>
          </w:tcPr>
          <w:p w:rsidR="00272B39" w:rsidRPr="00700C35" w:rsidRDefault="00272B39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1.3</w:t>
            </w:r>
          </w:p>
        </w:tc>
      </w:tr>
    </w:tbl>
    <w:p w:rsidR="00272B39" w:rsidRPr="00700C35" w:rsidRDefault="00272B39" w:rsidP="00272B39">
      <w:pPr>
        <w:ind w:left="284"/>
        <w:rPr>
          <w:bCs/>
          <w:i/>
          <w:color w:val="000000"/>
          <w:sz w:val="16"/>
          <w:szCs w:val="16"/>
          <w:vertAlign w:val="subscript"/>
        </w:rPr>
      </w:pPr>
      <w:r w:rsidRPr="00700C35">
        <w:rPr>
          <w:bCs/>
          <w:i/>
          <w:color w:val="000000"/>
          <w:sz w:val="16"/>
          <w:szCs w:val="16"/>
        </w:rPr>
        <w:t>(1) Per i carichi permanenti G</w:t>
      </w:r>
      <w:r w:rsidRPr="00700C35">
        <w:rPr>
          <w:bCs/>
          <w:i/>
          <w:color w:val="000000"/>
          <w:sz w:val="16"/>
          <w:szCs w:val="16"/>
          <w:vertAlign w:val="subscript"/>
        </w:rPr>
        <w:t>2</w:t>
      </w:r>
      <w:r w:rsidRPr="00700C35">
        <w:rPr>
          <w:bCs/>
          <w:i/>
          <w:color w:val="000000"/>
          <w:sz w:val="16"/>
          <w:szCs w:val="16"/>
        </w:rPr>
        <w:t xml:space="preserve"> si applica quanto indicato alla Tabella 2.6.I. Per la spinta delle terre si fa riferimento ai coefficienti ·</w:t>
      </w:r>
      <w:r w:rsidRPr="00700C35">
        <w:rPr>
          <w:bCs/>
          <w:i/>
          <w:color w:val="000000"/>
          <w:sz w:val="16"/>
          <w:szCs w:val="16"/>
        </w:rPr>
        <w:sym w:font="Symbol" w:char="F067"/>
      </w:r>
      <w:r w:rsidRPr="00700C35">
        <w:rPr>
          <w:bCs/>
          <w:i/>
          <w:color w:val="000000"/>
          <w:sz w:val="16"/>
          <w:szCs w:val="16"/>
          <w:vertAlign w:val="subscript"/>
        </w:rPr>
        <w:t>G1</w:t>
      </w:r>
    </w:p>
    <w:p w:rsidR="00272B39" w:rsidRPr="00272B39" w:rsidRDefault="00272B39" w:rsidP="00272B39">
      <w:pPr>
        <w:jc w:val="both"/>
        <w:rPr>
          <w:bCs/>
          <w:color w:val="000000"/>
        </w:rPr>
      </w:pPr>
    </w:p>
    <w:p w:rsidR="00272B39" w:rsidRDefault="00272B39" w:rsidP="00272B39">
      <w:pPr>
        <w:ind w:left="284"/>
        <w:rPr>
          <w:bCs/>
          <w:color w:val="000000"/>
          <w:sz w:val="16"/>
          <w:szCs w:val="16"/>
        </w:rPr>
      </w:pPr>
      <w:r w:rsidRPr="0066532E">
        <w:rPr>
          <w:b/>
          <w:bCs/>
          <w:color w:val="000000"/>
          <w:sz w:val="16"/>
          <w:szCs w:val="16"/>
        </w:rPr>
        <w:t>Tab. 6.2.I</w:t>
      </w:r>
      <w:r>
        <w:rPr>
          <w:b/>
          <w:bCs/>
          <w:color w:val="000000"/>
          <w:sz w:val="16"/>
          <w:szCs w:val="16"/>
        </w:rPr>
        <w:t>I</w:t>
      </w:r>
      <w:r w:rsidRPr="0066532E">
        <w:rPr>
          <w:bCs/>
          <w:color w:val="000000"/>
          <w:sz w:val="16"/>
          <w:szCs w:val="16"/>
        </w:rPr>
        <w:t xml:space="preserve">– </w:t>
      </w:r>
      <w:r w:rsidRPr="00272B39">
        <w:rPr>
          <w:bCs/>
          <w:color w:val="000000"/>
          <w:sz w:val="16"/>
          <w:szCs w:val="16"/>
        </w:rPr>
        <w:t>Coefficienti parziali per i parametri geotecnici del terreno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974"/>
        <w:gridCol w:w="760"/>
        <w:gridCol w:w="709"/>
      </w:tblGrid>
      <w:tr w:rsidR="005749B5" w:rsidRPr="00700C35" w:rsidTr="005749B5">
        <w:tc>
          <w:tcPr>
            <w:tcW w:w="1951" w:type="dxa"/>
            <w:shd w:val="clear" w:color="auto" w:fill="D9D9D9"/>
          </w:tcPr>
          <w:p w:rsidR="005749B5" w:rsidRPr="00700C35" w:rsidRDefault="005749B5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Parametro</w:t>
            </w:r>
          </w:p>
        </w:tc>
        <w:tc>
          <w:tcPr>
            <w:tcW w:w="1701" w:type="dxa"/>
            <w:shd w:val="clear" w:color="auto" w:fill="D9D9D9"/>
          </w:tcPr>
          <w:p w:rsidR="005749B5" w:rsidRPr="00700C35" w:rsidRDefault="005749B5" w:rsidP="005749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49B5">
              <w:rPr>
                <w:b/>
                <w:bCs/>
                <w:color w:val="000000"/>
                <w:sz w:val="16"/>
                <w:szCs w:val="16"/>
              </w:rPr>
              <w:t xml:space="preserve">Grandezza alla </w:t>
            </w:r>
            <w:proofErr w:type="gramStart"/>
            <w:r w:rsidRPr="005749B5">
              <w:rPr>
                <w:b/>
                <w:bCs/>
                <w:color w:val="000000"/>
                <w:sz w:val="16"/>
                <w:szCs w:val="16"/>
              </w:rPr>
              <w:t>quale  applicare</w:t>
            </w:r>
            <w:proofErr w:type="gramEnd"/>
            <w:r w:rsidRPr="005749B5">
              <w:rPr>
                <w:b/>
                <w:bCs/>
                <w:color w:val="000000"/>
                <w:sz w:val="16"/>
                <w:szCs w:val="16"/>
              </w:rPr>
              <w:t xml:space="preserve"> il coefficiente parziale</w:t>
            </w:r>
          </w:p>
        </w:tc>
        <w:tc>
          <w:tcPr>
            <w:tcW w:w="974" w:type="dxa"/>
            <w:shd w:val="clear" w:color="auto" w:fill="D9D9D9"/>
          </w:tcPr>
          <w:p w:rsidR="005749B5" w:rsidRPr="00700C35" w:rsidRDefault="005749B5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Coefficiente parziale </w:t>
            </w:r>
            <w:r>
              <w:rPr>
                <w:b/>
                <w:bCs/>
                <w:color w:val="000000"/>
                <w:sz w:val="16"/>
                <w:szCs w:val="16"/>
              </w:rPr>
              <w:sym w:font="Symbol" w:char="F067"/>
            </w:r>
            <w:r w:rsidRPr="005749B5">
              <w:rPr>
                <w:b/>
                <w:bCs/>
                <w:color w:val="000000"/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760" w:type="dxa"/>
            <w:shd w:val="clear" w:color="auto" w:fill="D9D9D9"/>
          </w:tcPr>
          <w:p w:rsidR="005749B5" w:rsidRPr="00700C35" w:rsidRDefault="005749B5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(M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>1)</w:t>
            </w:r>
          </w:p>
        </w:tc>
        <w:tc>
          <w:tcPr>
            <w:tcW w:w="709" w:type="dxa"/>
            <w:shd w:val="clear" w:color="auto" w:fill="D9D9D9"/>
          </w:tcPr>
          <w:p w:rsidR="005749B5" w:rsidRPr="00700C35" w:rsidRDefault="005749B5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(M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>2)</w:t>
            </w:r>
          </w:p>
        </w:tc>
      </w:tr>
      <w:tr w:rsidR="005749B5" w:rsidRPr="00700C35" w:rsidTr="005749B5">
        <w:trPr>
          <w:trHeight w:val="378"/>
        </w:trPr>
        <w:tc>
          <w:tcPr>
            <w:tcW w:w="1951" w:type="dxa"/>
            <w:shd w:val="clear" w:color="auto" w:fill="auto"/>
          </w:tcPr>
          <w:p w:rsidR="005749B5" w:rsidRPr="00700C35" w:rsidRDefault="005749B5" w:rsidP="00554E7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Tangente dell’angolo resistenza a taglio</w:t>
            </w:r>
          </w:p>
        </w:tc>
        <w:tc>
          <w:tcPr>
            <w:tcW w:w="1701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tan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sym w:font="Symbol" w:char="F06A"/>
            </w:r>
            <w:r>
              <w:rPr>
                <w:bCs/>
                <w:color w:val="000000"/>
                <w:sz w:val="16"/>
                <w:szCs w:val="16"/>
              </w:rPr>
              <w:t>’</w:t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974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sym w:font="Symbol" w:char="F06A"/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t>’</w:t>
            </w:r>
          </w:p>
        </w:tc>
        <w:tc>
          <w:tcPr>
            <w:tcW w:w="760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1.25</w:t>
            </w:r>
          </w:p>
        </w:tc>
      </w:tr>
      <w:tr w:rsidR="005749B5" w:rsidRPr="00700C35" w:rsidTr="005749B5">
        <w:trPr>
          <w:trHeight w:val="204"/>
        </w:trPr>
        <w:tc>
          <w:tcPr>
            <w:tcW w:w="1951" w:type="dxa"/>
            <w:shd w:val="clear" w:color="auto" w:fill="auto"/>
          </w:tcPr>
          <w:p w:rsidR="005749B5" w:rsidRPr="00700C35" w:rsidRDefault="005749B5" w:rsidP="00554E7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Coesione efficace</w:t>
            </w:r>
          </w:p>
        </w:tc>
        <w:tc>
          <w:tcPr>
            <w:tcW w:w="1701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c’</w:t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t>k</w:t>
            </w:r>
            <w:proofErr w:type="gramEnd"/>
          </w:p>
        </w:tc>
        <w:tc>
          <w:tcPr>
            <w:tcW w:w="974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sym w:font="Symbol" w:char="F067"/>
            </w:r>
            <w:proofErr w:type="gramStart"/>
            <w:r>
              <w:rPr>
                <w:bCs/>
                <w:color w:val="000000"/>
                <w:sz w:val="16"/>
                <w:szCs w:val="16"/>
                <w:vertAlign w:val="subscript"/>
              </w:rPr>
              <w:t>c</w:t>
            </w:r>
            <w:proofErr w:type="gramEnd"/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t>’</w:t>
            </w:r>
          </w:p>
        </w:tc>
        <w:tc>
          <w:tcPr>
            <w:tcW w:w="760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1.25</w:t>
            </w:r>
          </w:p>
        </w:tc>
      </w:tr>
      <w:tr w:rsidR="005749B5" w:rsidRPr="00700C35" w:rsidTr="005749B5">
        <w:trPr>
          <w:trHeight w:val="242"/>
        </w:trPr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5749B5" w:rsidRPr="00700C35" w:rsidRDefault="005749B5" w:rsidP="00554E7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Resistenza non drenata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Cs/>
                <w:color w:val="000000"/>
                <w:sz w:val="16"/>
                <w:szCs w:val="16"/>
              </w:rPr>
              <w:t>cu</w:t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t>k</w:t>
            </w:r>
            <w:proofErr w:type="gramEnd"/>
          </w:p>
        </w:tc>
        <w:tc>
          <w:tcPr>
            <w:tcW w:w="974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sym w:font="Symbol" w:char="F067"/>
            </w:r>
            <w:proofErr w:type="gramStart"/>
            <w:r>
              <w:rPr>
                <w:bCs/>
                <w:color w:val="000000"/>
                <w:sz w:val="16"/>
                <w:szCs w:val="16"/>
                <w:vertAlign w:val="subscript"/>
              </w:rPr>
              <w:t>cu</w:t>
            </w:r>
            <w:proofErr w:type="gramEnd"/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t>’</w:t>
            </w:r>
          </w:p>
        </w:tc>
        <w:tc>
          <w:tcPr>
            <w:tcW w:w="760" w:type="dxa"/>
            <w:shd w:val="clear" w:color="auto" w:fill="auto"/>
          </w:tcPr>
          <w:p w:rsidR="005749B5" w:rsidRPr="00700C35" w:rsidRDefault="005749B5" w:rsidP="005749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1.4</w:t>
            </w:r>
          </w:p>
        </w:tc>
      </w:tr>
      <w:tr w:rsidR="005749B5" w:rsidRPr="00700C35" w:rsidTr="005749B5">
        <w:tc>
          <w:tcPr>
            <w:tcW w:w="1951" w:type="dxa"/>
            <w:shd w:val="clear" w:color="auto" w:fill="auto"/>
          </w:tcPr>
          <w:p w:rsidR="005749B5" w:rsidRPr="00700C35" w:rsidRDefault="005749B5" w:rsidP="00554E7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Peso dell’unità di volume</w:t>
            </w:r>
          </w:p>
        </w:tc>
        <w:tc>
          <w:tcPr>
            <w:tcW w:w="1701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sym w:font="Symbol" w:char="F067"/>
            </w:r>
          </w:p>
        </w:tc>
        <w:tc>
          <w:tcPr>
            <w:tcW w:w="974" w:type="dxa"/>
            <w:shd w:val="clear" w:color="auto" w:fill="auto"/>
          </w:tcPr>
          <w:p w:rsidR="005749B5" w:rsidRPr="00700C35" w:rsidRDefault="005749B5" w:rsidP="005749B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5749B5">
              <w:rPr>
                <w:bCs/>
                <w:color w:val="000000"/>
                <w:sz w:val="16"/>
                <w:szCs w:val="16"/>
                <w:vertAlign w:val="subscript"/>
              </w:rPr>
              <w:sym w:font="Symbol" w:char="F067"/>
            </w:r>
          </w:p>
        </w:tc>
        <w:tc>
          <w:tcPr>
            <w:tcW w:w="760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5749B5" w:rsidRPr="00700C35" w:rsidRDefault="005749B5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1.0</w:t>
            </w:r>
          </w:p>
        </w:tc>
      </w:tr>
    </w:tbl>
    <w:p w:rsidR="00272B39" w:rsidRPr="00272B39" w:rsidRDefault="00272B39" w:rsidP="00272B39">
      <w:pPr>
        <w:jc w:val="both"/>
        <w:rPr>
          <w:bCs/>
          <w:color w:val="000000"/>
        </w:rPr>
      </w:pPr>
    </w:p>
    <w:p w:rsidR="00AA6252" w:rsidRDefault="00AA6252" w:rsidP="00AA6252">
      <w:pPr>
        <w:ind w:left="720" w:hanging="436"/>
        <w:rPr>
          <w:bCs/>
          <w:color w:val="000000"/>
          <w:sz w:val="16"/>
          <w:szCs w:val="16"/>
        </w:rPr>
      </w:pPr>
      <w:r w:rsidRPr="008F0193">
        <w:rPr>
          <w:b/>
          <w:bCs/>
          <w:color w:val="000000"/>
          <w:sz w:val="16"/>
          <w:szCs w:val="16"/>
        </w:rPr>
        <w:t>Tab. 6.</w:t>
      </w:r>
      <w:r>
        <w:rPr>
          <w:b/>
          <w:bCs/>
          <w:color w:val="000000"/>
          <w:sz w:val="16"/>
          <w:szCs w:val="16"/>
        </w:rPr>
        <w:t>8</w:t>
      </w:r>
      <w:r w:rsidRPr="008F0193">
        <w:rPr>
          <w:b/>
          <w:bCs/>
          <w:color w:val="000000"/>
          <w:sz w:val="16"/>
          <w:szCs w:val="16"/>
        </w:rPr>
        <w:t xml:space="preserve">.I – </w:t>
      </w:r>
      <w:r w:rsidRPr="008F0193">
        <w:rPr>
          <w:bCs/>
          <w:color w:val="000000"/>
          <w:sz w:val="16"/>
          <w:szCs w:val="16"/>
        </w:rPr>
        <w:t>Coefficienti parziali ·</w:t>
      </w:r>
      <w:r>
        <w:rPr>
          <w:bCs/>
          <w:color w:val="000000"/>
          <w:sz w:val="16"/>
          <w:szCs w:val="16"/>
        </w:rPr>
        <w:sym w:font="Symbol" w:char="F067"/>
      </w:r>
      <w:r w:rsidRPr="008F0193">
        <w:rPr>
          <w:bCs/>
          <w:color w:val="000000"/>
          <w:sz w:val="16"/>
          <w:szCs w:val="16"/>
          <w:vertAlign w:val="subscript"/>
        </w:rPr>
        <w:t>R</w:t>
      </w:r>
      <w:r w:rsidRPr="008F0193">
        <w:rPr>
          <w:bCs/>
          <w:color w:val="000000"/>
          <w:sz w:val="16"/>
          <w:szCs w:val="16"/>
        </w:rPr>
        <w:t xml:space="preserve"> per le verifiche agli stati limite ult</w:t>
      </w:r>
      <w:r>
        <w:rPr>
          <w:bCs/>
          <w:color w:val="000000"/>
          <w:sz w:val="16"/>
          <w:szCs w:val="16"/>
        </w:rPr>
        <w:t xml:space="preserve">imi </w:t>
      </w:r>
      <w:r>
        <w:rPr>
          <w:bCs/>
          <w:color w:val="000000"/>
          <w:sz w:val="16"/>
          <w:szCs w:val="16"/>
        </w:rPr>
        <w:t>di opere di materiali sciolti e fronti scvo</w:t>
      </w:r>
      <w:r>
        <w:rPr>
          <w:bCs/>
          <w:color w:val="000000"/>
          <w:sz w:val="16"/>
          <w:szCs w:val="16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2"/>
      </w:tblGrid>
      <w:tr w:rsidR="00AA6252" w:rsidRPr="00700C35" w:rsidTr="00554E7E">
        <w:tc>
          <w:tcPr>
            <w:tcW w:w="2268" w:type="dxa"/>
            <w:shd w:val="clear" w:color="auto" w:fill="D9D9D9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Verfica</w:t>
            </w:r>
          </w:p>
        </w:tc>
        <w:tc>
          <w:tcPr>
            <w:tcW w:w="1242" w:type="dxa"/>
            <w:shd w:val="clear" w:color="auto" w:fill="D9D9D9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Coefficiente</w:t>
            </w:r>
          </w:p>
          <w:p w:rsidR="00AA6252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P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>arziale</w:t>
            </w:r>
          </w:p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(R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A6252" w:rsidRPr="00700C35" w:rsidTr="00554E7E">
        <w:trPr>
          <w:trHeight w:val="216"/>
        </w:trPr>
        <w:tc>
          <w:tcPr>
            <w:tcW w:w="2268" w:type="dxa"/>
            <w:shd w:val="clear" w:color="auto" w:fill="auto"/>
          </w:tcPr>
          <w:p w:rsidR="00AA6252" w:rsidRPr="00700C35" w:rsidRDefault="00AA6252" w:rsidP="00AA62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sym w:font="Symbol" w:char="F067"/>
            </w:r>
            <w:r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AA62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.1</w:t>
            </w:r>
          </w:p>
        </w:tc>
      </w:tr>
    </w:tbl>
    <w:p w:rsidR="00AA6252" w:rsidRDefault="00AA6252" w:rsidP="00AA6252">
      <w:pPr>
        <w:ind w:left="720" w:hanging="436"/>
        <w:rPr>
          <w:bCs/>
          <w:color w:val="000000"/>
          <w:sz w:val="16"/>
          <w:szCs w:val="16"/>
        </w:rPr>
      </w:pPr>
    </w:p>
    <w:p w:rsidR="00272B39" w:rsidRDefault="00272B39" w:rsidP="00272B39">
      <w:pPr>
        <w:jc w:val="both"/>
        <w:rPr>
          <w:bCs/>
          <w:color w:val="000000"/>
        </w:rPr>
      </w:pP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Le rimanenti verifiche devono essere effettuate secondo l’Approccio 2, con la combinazione </w:t>
      </w:r>
      <w:r w:rsidRPr="00272B39">
        <w:rPr>
          <w:b/>
          <w:bCs/>
          <w:color w:val="000000"/>
        </w:rPr>
        <w:t>(A1+M1+R3)</w:t>
      </w:r>
      <w:r w:rsidRPr="00272B39">
        <w:rPr>
          <w:bCs/>
          <w:color w:val="000000"/>
        </w:rPr>
        <w:t>, tenendo conto dei valori dei coefficienti parziali riportati nelle Tabelle 6.2.I, 6.2.II e 6.5.I.</w:t>
      </w:r>
    </w:p>
    <w:p w:rsidR="00AA6252" w:rsidRDefault="00AA6252" w:rsidP="00AA6252">
      <w:pPr>
        <w:rPr>
          <w:b/>
          <w:bCs/>
          <w:color w:val="000000"/>
          <w:sz w:val="16"/>
          <w:szCs w:val="16"/>
        </w:rPr>
      </w:pPr>
    </w:p>
    <w:p w:rsidR="00AA6252" w:rsidRDefault="00AA6252" w:rsidP="00AA6252">
      <w:pPr>
        <w:ind w:left="720" w:hanging="436"/>
        <w:rPr>
          <w:bCs/>
          <w:color w:val="000000"/>
          <w:sz w:val="16"/>
          <w:szCs w:val="16"/>
        </w:rPr>
      </w:pPr>
      <w:r w:rsidRPr="008F0193">
        <w:rPr>
          <w:b/>
          <w:bCs/>
          <w:color w:val="000000"/>
          <w:sz w:val="16"/>
          <w:szCs w:val="16"/>
        </w:rPr>
        <w:t>Tab. 6.</w:t>
      </w:r>
      <w:r>
        <w:rPr>
          <w:b/>
          <w:bCs/>
          <w:color w:val="000000"/>
          <w:sz w:val="16"/>
          <w:szCs w:val="16"/>
        </w:rPr>
        <w:t>5</w:t>
      </w:r>
      <w:r w:rsidRPr="008F0193">
        <w:rPr>
          <w:b/>
          <w:bCs/>
          <w:color w:val="000000"/>
          <w:sz w:val="16"/>
          <w:szCs w:val="16"/>
        </w:rPr>
        <w:t xml:space="preserve">.I – </w:t>
      </w:r>
      <w:r w:rsidRPr="008F0193">
        <w:rPr>
          <w:bCs/>
          <w:color w:val="000000"/>
          <w:sz w:val="16"/>
          <w:szCs w:val="16"/>
        </w:rPr>
        <w:t>Coefficienti parziali ·</w:t>
      </w:r>
      <w:r>
        <w:rPr>
          <w:bCs/>
          <w:color w:val="000000"/>
          <w:sz w:val="16"/>
          <w:szCs w:val="16"/>
        </w:rPr>
        <w:sym w:font="Symbol" w:char="F067"/>
      </w:r>
      <w:r w:rsidRPr="008F0193">
        <w:rPr>
          <w:bCs/>
          <w:color w:val="000000"/>
          <w:sz w:val="16"/>
          <w:szCs w:val="16"/>
          <w:vertAlign w:val="subscript"/>
        </w:rPr>
        <w:t>R</w:t>
      </w:r>
      <w:r w:rsidRPr="008F0193">
        <w:rPr>
          <w:bCs/>
          <w:color w:val="000000"/>
          <w:sz w:val="16"/>
          <w:szCs w:val="16"/>
        </w:rPr>
        <w:t xml:space="preserve"> per le verifiche agli stati limite ult</w:t>
      </w:r>
      <w:r>
        <w:rPr>
          <w:bCs/>
          <w:color w:val="000000"/>
          <w:sz w:val="16"/>
          <w:szCs w:val="16"/>
        </w:rPr>
        <w:t xml:space="preserve">imi </w:t>
      </w:r>
      <w:r>
        <w:rPr>
          <w:bCs/>
          <w:color w:val="000000"/>
          <w:sz w:val="16"/>
          <w:szCs w:val="16"/>
        </w:rPr>
        <w:t>dei muri di sostegno</w:t>
      </w:r>
      <w:r>
        <w:rPr>
          <w:bCs/>
          <w:color w:val="000000"/>
          <w:sz w:val="16"/>
          <w:szCs w:val="16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2"/>
      </w:tblGrid>
      <w:tr w:rsidR="00AA6252" w:rsidRPr="00700C35" w:rsidTr="00AA6252">
        <w:tc>
          <w:tcPr>
            <w:tcW w:w="2268" w:type="dxa"/>
            <w:shd w:val="clear" w:color="auto" w:fill="D9D9D9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Verfica</w:t>
            </w:r>
          </w:p>
        </w:tc>
        <w:tc>
          <w:tcPr>
            <w:tcW w:w="1242" w:type="dxa"/>
            <w:shd w:val="clear" w:color="auto" w:fill="D9D9D9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Coefficiente</w:t>
            </w:r>
          </w:p>
          <w:p w:rsidR="00AA6252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P</w:t>
            </w:r>
            <w:r w:rsidRPr="00700C35">
              <w:rPr>
                <w:b/>
                <w:bCs/>
                <w:color w:val="000000"/>
                <w:sz w:val="16"/>
                <w:szCs w:val="16"/>
              </w:rPr>
              <w:t>arziale</w:t>
            </w:r>
          </w:p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(R3)</w:t>
            </w:r>
          </w:p>
        </w:tc>
      </w:tr>
      <w:tr w:rsidR="00AA6252" w:rsidRPr="00700C35" w:rsidTr="00AA6252">
        <w:trPr>
          <w:trHeight w:val="216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Carico limite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AA62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1.4</w:t>
            </w:r>
          </w:p>
        </w:tc>
      </w:tr>
      <w:tr w:rsidR="00AA6252" w:rsidRPr="00700C35" w:rsidTr="00AA6252">
        <w:trPr>
          <w:trHeight w:val="264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Scorrimento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AA62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>= 1.1</w:t>
            </w:r>
          </w:p>
        </w:tc>
      </w:tr>
      <w:tr w:rsidR="00AA6252" w:rsidRPr="00700C35" w:rsidTr="00AA6252">
        <w:trPr>
          <w:trHeight w:val="264"/>
        </w:trPr>
        <w:tc>
          <w:tcPr>
            <w:tcW w:w="2268" w:type="dxa"/>
            <w:shd w:val="clear" w:color="auto" w:fill="auto"/>
          </w:tcPr>
          <w:p w:rsidR="00AA6252" w:rsidRPr="00700C35" w:rsidRDefault="00AA6252" w:rsidP="00AA625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Ribaltamento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AA62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1.15</w:t>
            </w:r>
          </w:p>
        </w:tc>
      </w:tr>
      <w:tr w:rsidR="00AA6252" w:rsidRPr="00700C35" w:rsidTr="00AA6252">
        <w:trPr>
          <w:trHeight w:val="264"/>
        </w:trPr>
        <w:tc>
          <w:tcPr>
            <w:tcW w:w="2268" w:type="dxa"/>
            <w:shd w:val="clear" w:color="auto" w:fill="auto"/>
          </w:tcPr>
          <w:p w:rsidR="00AA6252" w:rsidRPr="00700C35" w:rsidRDefault="00AA6252" w:rsidP="00AA625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Resistenza del terreno a valle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AA625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1.4</w:t>
            </w:r>
          </w:p>
        </w:tc>
      </w:tr>
    </w:tbl>
    <w:p w:rsidR="00AA6252" w:rsidRDefault="00AA6252" w:rsidP="00AA6252">
      <w:pPr>
        <w:ind w:left="720" w:hanging="436"/>
        <w:rPr>
          <w:bCs/>
          <w:color w:val="000000"/>
          <w:sz w:val="16"/>
          <w:szCs w:val="16"/>
        </w:rPr>
      </w:pPr>
    </w:p>
    <w:p w:rsidR="00AA6252" w:rsidRPr="00272B39" w:rsidRDefault="00AA6252" w:rsidP="00272B39">
      <w:pPr>
        <w:jc w:val="both"/>
        <w:rPr>
          <w:bCs/>
          <w:color w:val="000000"/>
        </w:rPr>
      </w:pP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Nella verifica a ribaltamento i coefficienti R3 della Tab. 6.5.I si applicano agli effetti delle azioni stabilizzanti.   </w:t>
      </w:r>
    </w:p>
    <w:p w:rsidR="00272B39" w:rsidRPr="00272B39" w:rsidRDefault="00272B39" w:rsidP="00272B39">
      <w:pPr>
        <w:jc w:val="both"/>
        <w:rPr>
          <w:bCs/>
          <w:color w:val="000000"/>
        </w:rPr>
      </w:pPr>
    </w:p>
    <w:p w:rsidR="00272B39" w:rsidRP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 xml:space="preserve">Ai fini della verifica alla traslazione sul piano di posa di muri di sostegno con fondazioni superficiali, </w:t>
      </w:r>
      <w:r w:rsidRPr="00AA6252">
        <w:rPr>
          <w:b/>
          <w:bCs/>
          <w:color w:val="000000"/>
        </w:rPr>
        <w:t>non si deve in generale considerare il contributo della resistenza passiva del terreno antistante il muro.</w:t>
      </w:r>
      <w:r w:rsidRPr="00272B39">
        <w:rPr>
          <w:bCs/>
          <w:color w:val="000000"/>
        </w:rPr>
        <w:t xml:space="preserve"> </w:t>
      </w:r>
      <w:r w:rsidRPr="00AA6252">
        <w:rPr>
          <w:bCs/>
          <w:i/>
          <w:color w:val="000000"/>
        </w:rPr>
        <w:t>In casi particolari, da giustificare con considerazioni relative alle caratteristiche meccaniche dei terreni e alle modalità costruttive, la presa in conto di un’aliquota (comunque non superiore al 50%) di tale resistenza è subordinata all’assunzione di effettiva permanenza di tale contributo, nonché alla verifica che gli spostamenti necessari alla mobilitazione di tale aliquota siano compatibili con le prestazioni attese dell’opera.</w:t>
      </w:r>
      <w:r w:rsidRPr="00272B39">
        <w:rPr>
          <w:bCs/>
          <w:color w:val="000000"/>
        </w:rPr>
        <w:t xml:space="preserve">  </w:t>
      </w:r>
    </w:p>
    <w:p w:rsidR="00272B39" w:rsidRPr="00272B39" w:rsidRDefault="00272B39" w:rsidP="00272B39">
      <w:pPr>
        <w:jc w:val="both"/>
        <w:rPr>
          <w:bCs/>
          <w:color w:val="000000"/>
        </w:rPr>
      </w:pPr>
    </w:p>
    <w:p w:rsidR="00272B39" w:rsidRPr="00272B39" w:rsidRDefault="00AA6252" w:rsidP="00272B3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7.11.6.2.2 </w:t>
      </w:r>
      <w:r w:rsidR="00272B39" w:rsidRPr="00272B39">
        <w:rPr>
          <w:b/>
          <w:bCs/>
          <w:color w:val="000000"/>
        </w:rPr>
        <w:t xml:space="preserve">Verifiche di sicurezza  </w:t>
      </w:r>
    </w:p>
    <w:p w:rsidR="00272B39" w:rsidRDefault="00272B39" w:rsidP="00272B39">
      <w:pPr>
        <w:jc w:val="both"/>
        <w:rPr>
          <w:bCs/>
          <w:color w:val="000000"/>
        </w:rPr>
      </w:pPr>
      <w:r w:rsidRPr="00272B39">
        <w:rPr>
          <w:bCs/>
          <w:color w:val="000000"/>
        </w:rPr>
        <w:t>Nelle verifiche di sicurezza si deve controllare che la resistenza del sistema sia maggiore delle azioni nel rispetto della condizione [6.2.1</w:t>
      </w:r>
      <w:r w:rsidRPr="00C47075">
        <w:rPr>
          <w:bCs/>
          <w:color w:val="000000"/>
        </w:rPr>
        <w:t>]</w:t>
      </w:r>
      <w:r w:rsidRPr="00AA6252">
        <w:rPr>
          <w:b/>
          <w:bCs/>
          <w:color w:val="000000"/>
        </w:rPr>
        <w:t xml:space="preserve">, ponendo pari all’unità i coefficienti parziali sulle azioni e sui parametri geotecnici (§ 7.11.1) </w:t>
      </w:r>
      <w:r w:rsidRPr="00272B39">
        <w:rPr>
          <w:bCs/>
          <w:color w:val="000000"/>
        </w:rPr>
        <w:t>e impiegando le resistenze di progetto con i coefficienti parziali J</w:t>
      </w:r>
      <w:r w:rsidRPr="00AA6252">
        <w:rPr>
          <w:bCs/>
          <w:color w:val="000000"/>
          <w:vertAlign w:val="subscript"/>
        </w:rPr>
        <w:t>R</w:t>
      </w:r>
      <w:r w:rsidRPr="00272B39">
        <w:rPr>
          <w:bCs/>
          <w:color w:val="000000"/>
        </w:rPr>
        <w:t xml:space="preserve"> indicati nella tabella 7.11.III.</w:t>
      </w:r>
    </w:p>
    <w:p w:rsidR="00AA6252" w:rsidRDefault="00AA6252" w:rsidP="00AA6252">
      <w:pPr>
        <w:ind w:left="720" w:hanging="436"/>
        <w:rPr>
          <w:b/>
          <w:bCs/>
          <w:color w:val="000000"/>
          <w:sz w:val="16"/>
          <w:szCs w:val="16"/>
        </w:rPr>
      </w:pPr>
    </w:p>
    <w:p w:rsidR="00AA6252" w:rsidRDefault="00AA6252" w:rsidP="00AA6252">
      <w:pPr>
        <w:ind w:left="720" w:hanging="436"/>
        <w:rPr>
          <w:bCs/>
          <w:color w:val="000000"/>
          <w:sz w:val="16"/>
          <w:szCs w:val="16"/>
        </w:rPr>
      </w:pPr>
      <w:r w:rsidRPr="008F0193">
        <w:rPr>
          <w:b/>
          <w:bCs/>
          <w:color w:val="000000"/>
          <w:sz w:val="16"/>
          <w:szCs w:val="16"/>
        </w:rPr>
        <w:t xml:space="preserve">Tab. </w:t>
      </w:r>
      <w:r>
        <w:rPr>
          <w:b/>
          <w:bCs/>
          <w:color w:val="000000"/>
          <w:sz w:val="16"/>
          <w:szCs w:val="16"/>
        </w:rPr>
        <w:t>7.11.</w:t>
      </w:r>
      <w:r w:rsidRPr="008F0193">
        <w:rPr>
          <w:b/>
          <w:bCs/>
          <w:color w:val="000000"/>
          <w:sz w:val="16"/>
          <w:szCs w:val="16"/>
        </w:rPr>
        <w:t>I</w:t>
      </w:r>
      <w:r>
        <w:rPr>
          <w:b/>
          <w:bCs/>
          <w:color w:val="000000"/>
          <w:sz w:val="16"/>
          <w:szCs w:val="16"/>
        </w:rPr>
        <w:t>II</w:t>
      </w:r>
      <w:r w:rsidRPr="008F0193">
        <w:rPr>
          <w:b/>
          <w:bCs/>
          <w:color w:val="000000"/>
          <w:sz w:val="16"/>
          <w:szCs w:val="16"/>
        </w:rPr>
        <w:t xml:space="preserve"> – </w:t>
      </w:r>
      <w:r w:rsidRPr="00AA6252">
        <w:rPr>
          <w:bCs/>
          <w:color w:val="000000"/>
          <w:sz w:val="16"/>
          <w:szCs w:val="16"/>
        </w:rPr>
        <w:t xml:space="preserve">Coefficienti parziali </w:t>
      </w:r>
      <w:r>
        <w:rPr>
          <w:bCs/>
          <w:color w:val="000000"/>
          <w:sz w:val="16"/>
          <w:szCs w:val="16"/>
        </w:rPr>
        <w:sym w:font="Symbol" w:char="F067"/>
      </w:r>
      <w:r w:rsidRPr="00AA6252">
        <w:rPr>
          <w:bCs/>
          <w:color w:val="000000"/>
          <w:sz w:val="16"/>
          <w:szCs w:val="16"/>
          <w:vertAlign w:val="subscript"/>
        </w:rPr>
        <w:t>R</w:t>
      </w:r>
      <w:r w:rsidRPr="00AA6252">
        <w:rPr>
          <w:bCs/>
          <w:color w:val="000000"/>
          <w:sz w:val="16"/>
          <w:szCs w:val="16"/>
        </w:rPr>
        <w:t xml:space="preserve"> per le verifiche degli stati limite (SLV) dei muri di sostegno.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42"/>
      </w:tblGrid>
      <w:tr w:rsidR="00AA6252" w:rsidRPr="00700C35" w:rsidTr="00554E7E">
        <w:tc>
          <w:tcPr>
            <w:tcW w:w="2268" w:type="dxa"/>
            <w:shd w:val="clear" w:color="auto" w:fill="D9D9D9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Verfica</w:t>
            </w:r>
          </w:p>
        </w:tc>
        <w:tc>
          <w:tcPr>
            <w:tcW w:w="1242" w:type="dxa"/>
            <w:shd w:val="clear" w:color="auto" w:fill="D9D9D9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Coefficiente</w:t>
            </w:r>
          </w:p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00C35">
              <w:rPr>
                <w:b/>
                <w:bCs/>
                <w:color w:val="000000"/>
                <w:sz w:val="16"/>
                <w:szCs w:val="16"/>
              </w:rPr>
              <w:t>parziale</w:t>
            </w:r>
            <w:proofErr w:type="gramEnd"/>
          </w:p>
        </w:tc>
      </w:tr>
      <w:tr w:rsidR="00AA6252" w:rsidRPr="00700C35" w:rsidTr="00554E7E">
        <w:trPr>
          <w:trHeight w:val="114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554E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0C35">
              <w:rPr>
                <w:b/>
                <w:bCs/>
                <w:color w:val="000000"/>
                <w:sz w:val="16"/>
                <w:szCs w:val="16"/>
              </w:rPr>
              <w:t>(R3)</w:t>
            </w:r>
          </w:p>
        </w:tc>
      </w:tr>
      <w:tr w:rsidR="00AA6252" w:rsidRPr="00700C35" w:rsidTr="00554E7E">
        <w:trPr>
          <w:trHeight w:val="216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Carico limite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1.4</w:t>
            </w:r>
          </w:p>
        </w:tc>
      </w:tr>
      <w:tr w:rsidR="00AA6252" w:rsidRPr="00700C35" w:rsidTr="00554E7E">
        <w:trPr>
          <w:trHeight w:val="264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t>Scorrimento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>= 1.1</w:t>
            </w:r>
          </w:p>
        </w:tc>
      </w:tr>
      <w:tr w:rsidR="00AA6252" w:rsidRPr="00700C35" w:rsidTr="00554E7E">
        <w:trPr>
          <w:trHeight w:val="264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Ribaltamento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1.15</w:t>
            </w:r>
          </w:p>
        </w:tc>
      </w:tr>
      <w:tr w:rsidR="00AA6252" w:rsidRPr="00700C35" w:rsidTr="00554E7E">
        <w:trPr>
          <w:trHeight w:val="264"/>
        </w:trPr>
        <w:tc>
          <w:tcPr>
            <w:tcW w:w="2268" w:type="dxa"/>
            <w:shd w:val="clear" w:color="auto" w:fill="auto"/>
          </w:tcPr>
          <w:p w:rsidR="00AA6252" w:rsidRPr="00700C35" w:rsidRDefault="00AA6252" w:rsidP="00554E7E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Resistenza del terreno a valle</w:t>
            </w:r>
          </w:p>
        </w:tc>
        <w:tc>
          <w:tcPr>
            <w:tcW w:w="1242" w:type="dxa"/>
            <w:shd w:val="clear" w:color="auto" w:fill="auto"/>
          </w:tcPr>
          <w:p w:rsidR="00AA6252" w:rsidRPr="00700C35" w:rsidRDefault="00AA6252" w:rsidP="00554E7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00C35">
              <w:rPr>
                <w:bCs/>
                <w:color w:val="000000"/>
                <w:sz w:val="16"/>
                <w:szCs w:val="16"/>
              </w:rPr>
              <w:sym w:font="Symbol" w:char="F067"/>
            </w:r>
            <w:r w:rsidRPr="00700C35">
              <w:rPr>
                <w:bCs/>
                <w:color w:val="000000"/>
                <w:sz w:val="16"/>
                <w:szCs w:val="16"/>
                <w:vertAlign w:val="subscript"/>
              </w:rPr>
              <w:t>R</w:t>
            </w:r>
            <w:r w:rsidRPr="00700C35">
              <w:rPr>
                <w:bCs/>
                <w:color w:val="000000"/>
                <w:sz w:val="16"/>
                <w:szCs w:val="16"/>
              </w:rPr>
              <w:t xml:space="preserve">= </w:t>
            </w:r>
            <w:r>
              <w:rPr>
                <w:bCs/>
                <w:color w:val="000000"/>
                <w:sz w:val="16"/>
                <w:szCs w:val="16"/>
              </w:rPr>
              <w:t>1.4</w:t>
            </w:r>
          </w:p>
        </w:tc>
      </w:tr>
    </w:tbl>
    <w:p w:rsidR="00AA6252" w:rsidRDefault="00AA6252" w:rsidP="00AA6252">
      <w:pPr>
        <w:ind w:left="720" w:hanging="436"/>
        <w:rPr>
          <w:bCs/>
          <w:color w:val="000000"/>
          <w:sz w:val="16"/>
          <w:szCs w:val="16"/>
        </w:rPr>
      </w:pPr>
    </w:p>
    <w:p w:rsidR="00C47075" w:rsidRPr="00C47075" w:rsidRDefault="00AA6252" w:rsidP="00E920BF">
      <w:pPr>
        <w:jc w:val="both"/>
        <w:rPr>
          <w:bCs/>
        </w:rPr>
      </w:pPr>
      <w:r w:rsidRPr="00C47075">
        <w:rPr>
          <w:bCs/>
        </w:rPr>
        <w:t xml:space="preserve">Relativamente alla verifica di stabilità globale del complesso gabbione-terreno, </w:t>
      </w:r>
      <w:r w:rsidR="00C47075" w:rsidRPr="00C47075">
        <w:rPr>
          <w:bCs/>
        </w:rPr>
        <w:t xml:space="preserve">le resistenze di progetto verranno calcolate impiegando un coefficiente parziale pari a </w:t>
      </w:r>
      <w:r w:rsidR="00C47075">
        <w:rPr>
          <w:bCs/>
        </w:rPr>
        <w:sym w:font="Symbol" w:char="F067"/>
      </w:r>
      <w:r w:rsidR="00C47075" w:rsidRPr="00C47075">
        <w:rPr>
          <w:bCs/>
          <w:vertAlign w:val="subscript"/>
        </w:rPr>
        <w:t>R</w:t>
      </w:r>
      <w:r w:rsidR="00C47075" w:rsidRPr="00C47075">
        <w:rPr>
          <w:bCs/>
        </w:rPr>
        <w:t xml:space="preserve"> = 1.2.</w:t>
      </w: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6062A1" w:rsidRDefault="006062A1" w:rsidP="00E920BF">
      <w:pPr>
        <w:jc w:val="both"/>
        <w:rPr>
          <w:b/>
          <w:bCs/>
        </w:rPr>
      </w:pPr>
    </w:p>
    <w:p w:rsidR="006062A1" w:rsidRDefault="006062A1" w:rsidP="00E920BF">
      <w:pPr>
        <w:jc w:val="both"/>
        <w:rPr>
          <w:b/>
          <w:bCs/>
        </w:rPr>
      </w:pPr>
    </w:p>
    <w:p w:rsidR="006062A1" w:rsidRDefault="006062A1" w:rsidP="00E920BF">
      <w:pPr>
        <w:jc w:val="both"/>
        <w:rPr>
          <w:b/>
          <w:bCs/>
        </w:rPr>
      </w:pPr>
      <w:bookmarkStart w:id="0" w:name="_GoBack"/>
      <w:bookmarkEnd w:id="0"/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C47075" w:rsidRDefault="00C47075" w:rsidP="00E920BF">
      <w:pPr>
        <w:jc w:val="both"/>
        <w:rPr>
          <w:b/>
          <w:bCs/>
        </w:rPr>
      </w:pPr>
    </w:p>
    <w:p w:rsidR="00E920BF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lastRenderedPageBreak/>
        <w:t xml:space="preserve">Forze considerate nell’equilibrio </w:t>
      </w:r>
      <w:r>
        <w:rPr>
          <w:b/>
          <w:bCs/>
        </w:rPr>
        <w:t>del gabbione</w:t>
      </w:r>
    </w:p>
    <w:p w:rsidR="00480272" w:rsidRPr="009404BC" w:rsidRDefault="00480272" w:rsidP="00E920BF">
      <w:pPr>
        <w:jc w:val="both"/>
      </w:pPr>
      <w:r w:rsidRPr="009404BC">
        <w:t xml:space="preserve">Peso </w:t>
      </w:r>
      <w:r>
        <w:t>muro</w:t>
      </w:r>
    </w:p>
    <w:p w:rsidR="00480272" w:rsidRPr="009404BC" w:rsidRDefault="00480272" w:rsidP="00E920BF">
      <w:pPr>
        <w:jc w:val="both"/>
      </w:pPr>
      <w:r w:rsidRPr="009404BC">
        <w:t>Spinta del terreno a monte (in condizione limite attiva)</w:t>
      </w:r>
    </w:p>
    <w:p w:rsidR="00480272" w:rsidRDefault="00480272" w:rsidP="00E920BF">
      <w:pPr>
        <w:jc w:val="both"/>
      </w:pPr>
      <w:r>
        <w:t xml:space="preserve">Spinta </w:t>
      </w:r>
      <w:r w:rsidR="00BA15CA">
        <w:t>idrostatica</w:t>
      </w:r>
      <w:r>
        <w:t xml:space="preserve"> </w:t>
      </w:r>
    </w:p>
    <w:p w:rsidR="00480272" w:rsidRPr="009404BC" w:rsidRDefault="00480272" w:rsidP="00E920BF">
      <w:pPr>
        <w:jc w:val="both"/>
      </w:pPr>
      <w:r>
        <w:t>Spinta sismica</w:t>
      </w:r>
    </w:p>
    <w:p w:rsidR="00480272" w:rsidRPr="009404BC" w:rsidRDefault="00480272" w:rsidP="00E920BF">
      <w:pPr>
        <w:jc w:val="both"/>
      </w:pPr>
      <w:r>
        <w:t>Sovraccarichi</w:t>
      </w:r>
    </w:p>
    <w:p w:rsidR="00480272" w:rsidRPr="009404BC" w:rsidRDefault="00480272" w:rsidP="00E920BF">
      <w:pPr>
        <w:jc w:val="both"/>
      </w:pPr>
    </w:p>
    <w:p w:rsidR="00480272" w:rsidRPr="009404BC" w:rsidRDefault="00480272" w:rsidP="00E920BF">
      <w:pPr>
        <w:jc w:val="both"/>
      </w:pPr>
      <w:r>
        <w:t xml:space="preserve">Il sistema </w:t>
      </w:r>
      <w:r w:rsidRPr="009404BC">
        <w:t>di riferimento scelto è mostrato nella seguente figura:</w:t>
      </w:r>
    </w:p>
    <w:p w:rsidR="00480272" w:rsidRPr="0087199B" w:rsidRDefault="00480272" w:rsidP="00BA15CA"/>
    <w:p w:rsidR="00480272" w:rsidRPr="0087199B" w:rsidRDefault="00480272" w:rsidP="00BA15CA"/>
    <w:p w:rsidR="00480272" w:rsidRPr="0087199B" w:rsidRDefault="00870D00" w:rsidP="00BA15CA">
      <w:r>
        <w:rPr>
          <w:noProof/>
        </w:rPr>
        <w:drawing>
          <wp:inline distT="0" distB="0" distL="0" distR="0">
            <wp:extent cx="4699459" cy="3492973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BBIONI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459" cy="34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72" w:rsidRPr="00EC7205" w:rsidRDefault="00480272" w:rsidP="00BA15CA">
      <w:pPr>
        <w:jc w:val="center"/>
        <w:rPr>
          <w:b/>
          <w:i/>
        </w:rPr>
      </w:pPr>
      <w:r w:rsidRPr="00870D00">
        <w:rPr>
          <w:b/>
        </w:rPr>
        <w:t xml:space="preserve">Figura </w:t>
      </w:r>
      <w:r w:rsidRPr="00870D00">
        <w:rPr>
          <w:b/>
        </w:rPr>
        <w:fldChar w:fldCharType="begin"/>
      </w:r>
      <w:r w:rsidRPr="00870D00">
        <w:rPr>
          <w:b/>
        </w:rPr>
        <w:instrText xml:space="preserve"> SEQ Figura \* ARABIC </w:instrText>
      </w:r>
      <w:r w:rsidRPr="00870D00">
        <w:rPr>
          <w:b/>
        </w:rPr>
        <w:fldChar w:fldCharType="separate"/>
      </w:r>
      <w:r w:rsidRPr="00870D00">
        <w:rPr>
          <w:b/>
          <w:noProof/>
        </w:rPr>
        <w:t>1</w:t>
      </w:r>
      <w:r w:rsidRPr="00870D00">
        <w:rPr>
          <w:b/>
        </w:rPr>
        <w:fldChar w:fldCharType="end"/>
      </w:r>
      <w:r>
        <w:t>-</w:t>
      </w:r>
      <w:r w:rsidRPr="00870D00">
        <w:rPr>
          <w:i/>
        </w:rPr>
        <w:t>Riferimento e convenzione di positività</w:t>
      </w:r>
      <w:r w:rsidR="00870D00">
        <w:rPr>
          <w:i/>
        </w:rPr>
        <w:t xml:space="preserve"> delle forze (blu), sistema di riferimento dei sovraccarichi (rosso).</w:t>
      </w:r>
    </w:p>
    <w:p w:rsidR="00480272" w:rsidRPr="0087199B" w:rsidRDefault="00480272" w:rsidP="00BA15CA">
      <w:pPr>
        <w:rPr>
          <w:b/>
          <w:bCs/>
        </w:rPr>
      </w:pPr>
    </w:p>
    <w:p w:rsidR="00480272" w:rsidRPr="0087199B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>Calcolo della spinta attiva</w:t>
      </w:r>
    </w:p>
    <w:p w:rsidR="00480272" w:rsidRPr="0087199B" w:rsidRDefault="00480272" w:rsidP="00E920BF">
      <w:pPr>
        <w:jc w:val="both"/>
      </w:pPr>
      <w:r w:rsidRPr="0087199B">
        <w:t xml:space="preserve">Per il calcolo della spinta attiva è stato adottato il metodo di </w:t>
      </w:r>
      <w:r w:rsidRPr="0087199B">
        <w:rPr>
          <w:i/>
          <w:iCs/>
        </w:rPr>
        <w:t xml:space="preserve">Coulomb, </w:t>
      </w:r>
      <w:r w:rsidRPr="0087199B">
        <w:t>il</w:t>
      </w:r>
      <w:r w:rsidRPr="0087199B">
        <w:rPr>
          <w:i/>
          <w:iCs/>
        </w:rPr>
        <w:t xml:space="preserve"> </w:t>
      </w:r>
      <w:r w:rsidRPr="0087199B">
        <w:t>quale</w:t>
      </w:r>
      <w:r w:rsidRPr="0087199B">
        <w:rPr>
          <w:i/>
          <w:iCs/>
        </w:rPr>
        <w:t xml:space="preserve"> </w:t>
      </w:r>
      <w:r w:rsidRPr="0087199B">
        <w:t>è</w:t>
      </w:r>
      <w:r w:rsidRPr="0087199B">
        <w:rPr>
          <w:i/>
          <w:iCs/>
        </w:rPr>
        <w:t xml:space="preserve"> </w:t>
      </w:r>
      <w:r w:rsidRPr="0087199B">
        <w:t xml:space="preserve">basato sullo studio dell'equilibrio limite globale del sistema formato dalla briglia e dal prisma di terreno omogeneo retrostante l'opera e coinvolto nella rottura nell'ipotesi di parete ruvida.  </w:t>
      </w:r>
    </w:p>
    <w:p w:rsidR="00480272" w:rsidRPr="0087199B" w:rsidRDefault="00480272" w:rsidP="00E920BF">
      <w:pPr>
        <w:jc w:val="both"/>
      </w:pPr>
      <w:r w:rsidRPr="0087199B">
        <w:t>Per terreno omogeneo ed asciutto il diagramma delle pressioni si presenta lineare con distribuzione:</w:t>
      </w:r>
    </w:p>
    <w:p w:rsidR="00480272" w:rsidRPr="0087199B" w:rsidRDefault="00480272" w:rsidP="00BA15CA">
      <w:pPr>
        <w:rPr>
          <w:i/>
          <w:iCs/>
        </w:rPr>
      </w:pPr>
    </w:p>
    <w:p w:rsidR="00480272" w:rsidRPr="0087199B" w:rsidRDefault="00870D00" w:rsidP="00BA15CA">
      <w:pPr>
        <w:jc w:val="center"/>
        <w:rPr>
          <w:i/>
          <w:iCs/>
        </w:rPr>
      </w:pPr>
      <w:r w:rsidRPr="00FC0AB2">
        <w:rPr>
          <w:iCs/>
          <w:color w:val="000000"/>
          <w:position w:val="-10"/>
          <w:lang w:val="de-DE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5.75pt" o:ole="">
            <v:imagedata r:id="rId5" o:title=""/>
          </v:shape>
          <o:OLEObject Type="Embed" ProgID="Equation.3" ShapeID="_x0000_i1039" DrawAspect="Content" ObjectID="_1618324945" r:id="rId6"/>
        </w:object>
      </w:r>
    </w:p>
    <w:p w:rsidR="00480272" w:rsidRPr="0087199B" w:rsidRDefault="00480272" w:rsidP="00E920BF">
      <w:pPr>
        <w:jc w:val="both"/>
      </w:pPr>
      <w:r w:rsidRPr="0087199B">
        <w:t xml:space="preserve">La spinta </w:t>
      </w:r>
      <w:r w:rsidRPr="00980993">
        <w:rPr>
          <w:iCs/>
        </w:rPr>
        <w:t>S</w:t>
      </w:r>
      <w:r w:rsidRPr="00980993">
        <w:rPr>
          <w:iCs/>
          <w:vertAlign w:val="subscript"/>
        </w:rPr>
        <w:t>t</w:t>
      </w:r>
      <w:r w:rsidRPr="00980993">
        <w:t xml:space="preserve"> </w:t>
      </w:r>
      <w:r w:rsidRPr="0087199B">
        <w:t>è applicata ad 1/3 H di valore</w:t>
      </w:r>
    </w:p>
    <w:p w:rsidR="00480272" w:rsidRPr="0087199B" w:rsidRDefault="00480272" w:rsidP="00BA15CA"/>
    <w:p w:rsidR="00480272" w:rsidRPr="0087199B" w:rsidRDefault="008326DA" w:rsidP="00BA15CA">
      <w:pPr>
        <w:jc w:val="center"/>
      </w:pPr>
      <w:r w:rsidRPr="00922FE7">
        <w:rPr>
          <w:i/>
          <w:iCs/>
          <w:color w:val="000000"/>
          <w:position w:val="-22"/>
          <w:lang w:val="de-DE"/>
        </w:rPr>
        <w:object w:dxaOrig="1840" w:dyaOrig="580">
          <v:shape id="_x0000_i1031" type="#_x0000_t75" style="width:92.25pt;height:29.25pt" o:ole="">
            <v:imagedata r:id="rId7" o:title=""/>
          </v:shape>
          <o:OLEObject Type="Embed" ProgID="Equation.3" ShapeID="_x0000_i1031" DrawAspect="Content" ObjectID="_1618324946" r:id="rId8"/>
        </w:object>
      </w:r>
    </w:p>
    <w:p w:rsidR="00480272" w:rsidRPr="0087199B" w:rsidRDefault="00480272" w:rsidP="00BA15CA"/>
    <w:p w:rsidR="00480272" w:rsidRPr="0087199B" w:rsidRDefault="00480272" w:rsidP="00BA15CA">
      <w:r w:rsidRPr="0087199B">
        <w:t>Avendo indicato con:</w:t>
      </w:r>
    </w:p>
    <w:p w:rsidR="00480272" w:rsidRPr="0087199B" w:rsidRDefault="00862F58" w:rsidP="00BA15CA">
      <w:pPr>
        <w:jc w:val="center"/>
      </w:pPr>
      <w:r w:rsidRPr="008326DA">
        <w:rPr>
          <w:position w:val="-78"/>
        </w:rPr>
        <w:object w:dxaOrig="4959" w:dyaOrig="1219">
          <v:shape id="_x0000_i1056" type="#_x0000_t75" style="width:235.5pt;height:58.5pt" o:ole="">
            <v:imagedata r:id="rId9" o:title=""/>
          </v:shape>
          <o:OLEObject Type="Embed" ProgID="Equation.3" ShapeID="_x0000_i1056" DrawAspect="Content" ObjectID="_1618324947" r:id="rId10"/>
        </w:object>
      </w:r>
    </w:p>
    <w:p w:rsidR="00480272" w:rsidRPr="0087199B" w:rsidRDefault="00480272" w:rsidP="00BA15CA">
      <w:pPr>
        <w:rPr>
          <w:i/>
          <w:iCs/>
        </w:rPr>
      </w:pPr>
    </w:p>
    <w:p w:rsidR="00480272" w:rsidRPr="0087199B" w:rsidRDefault="00480272" w:rsidP="00BA15CA">
      <w:r w:rsidRPr="0087199B">
        <w:lastRenderedPageBreak/>
        <w:t xml:space="preserve">Valori limite di </w:t>
      </w:r>
      <w:r w:rsidR="00862F58">
        <w:t>Ka</w:t>
      </w:r>
      <w:r w:rsidRPr="0087199B">
        <w:t>:</w:t>
      </w:r>
    </w:p>
    <w:p w:rsidR="00480272" w:rsidRPr="0087199B" w:rsidRDefault="00480272" w:rsidP="00BA15CA"/>
    <w:p w:rsidR="00480272" w:rsidRPr="0087199B" w:rsidRDefault="00480272" w:rsidP="00BA15CA">
      <w:r w:rsidRPr="0087199B">
        <w:rPr>
          <w:rFonts w:ascii="Symbol" w:hAnsi="Symbol" w:cs="Symbol"/>
        </w:rPr>
        <w:t></w:t>
      </w:r>
      <w:r w:rsidRPr="0087199B">
        <w:rPr>
          <w:rFonts w:ascii="Symbol" w:hAnsi="Symbol" w:cs="Symbol"/>
        </w:rPr>
        <w:t></w:t>
      </w:r>
      <w:r w:rsidRPr="0087199B">
        <w:rPr>
          <w:rFonts w:ascii="Symbol" w:hAnsi="Symbol" w:cs="Symbol"/>
        </w:rPr>
        <w:t></w:t>
      </w:r>
      <w:r w:rsidRPr="0087199B">
        <w:rPr>
          <w:rFonts w:ascii="Symbol" w:hAnsi="Symbol" w:cs="Symbol"/>
        </w:rPr>
        <w:t></w:t>
      </w:r>
      <w:r w:rsidRPr="0087199B">
        <w:rPr>
          <w:rFonts w:ascii="Symbol" w:hAnsi="Symbol" w:cs="Symbol"/>
        </w:rPr>
        <w:t></w:t>
      </w:r>
      <w:r w:rsidRPr="0087199B">
        <w:rPr>
          <w:rFonts w:ascii="Symbol" w:hAnsi="Symbol" w:cs="Symbol"/>
        </w:rPr>
        <w:t></w:t>
      </w:r>
      <w:r w:rsidRPr="0087199B">
        <w:rPr>
          <w:rFonts w:ascii="Symbol" w:hAnsi="Symbol" w:cs="Symbol"/>
        </w:rPr>
        <w:t></w:t>
      </w:r>
      <w:r w:rsidRPr="0087199B">
        <w:rPr>
          <w:rFonts w:ascii="Symbol" w:hAnsi="Symbol" w:cs="Symbol"/>
        </w:rPr>
        <w:t></w:t>
      </w:r>
      <w:r w:rsidRPr="0087199B">
        <w:rPr>
          <w:rFonts w:ascii="Symbol" w:hAnsi="Symbol" w:cs="Symbol"/>
        </w:rPr>
        <w:t></w:t>
      </w:r>
      <w:r w:rsidRPr="0087199B">
        <w:rPr>
          <w:rFonts w:ascii="Symbol" w:hAnsi="Symbol" w:cs="Symbol"/>
        </w:rPr>
        <w:t></w:t>
      </w:r>
      <w:r w:rsidRPr="0087199B">
        <w:rPr>
          <w:rFonts w:ascii="Symbol" w:hAnsi="Symbol" w:cs="Symbol"/>
        </w:rPr>
        <w:t></w:t>
      </w:r>
      <w:r w:rsidRPr="0087199B">
        <w:rPr>
          <w:rFonts w:ascii="Symbol" w:hAnsi="Symbol" w:cs="Symbol"/>
        </w:rPr>
        <w:t></w:t>
      </w:r>
      <w:r w:rsidRPr="0087199B">
        <w:t xml:space="preserve"> </w:t>
      </w:r>
      <w:proofErr w:type="gramStart"/>
      <w:r w:rsidRPr="0087199B">
        <w:t>secondo</w:t>
      </w:r>
      <w:proofErr w:type="gramEnd"/>
      <w:r w:rsidRPr="0087199B">
        <w:t xml:space="preserve"> Muller-Breslau</w:t>
      </w:r>
    </w:p>
    <w:p w:rsidR="00480272" w:rsidRDefault="00480272" w:rsidP="00BA15CA"/>
    <w:p w:rsidR="00480272" w:rsidRPr="0087199B" w:rsidRDefault="00480272" w:rsidP="00E920BF">
      <w:pPr>
        <w:jc w:val="both"/>
      </w:pPr>
      <w:r w:rsidRPr="0087199B">
        <w:t xml:space="preserve"> </w:t>
      </w:r>
      <w:r w:rsidRPr="0087199B">
        <w:rPr>
          <w:lang w:val="de-DE"/>
        </w:rPr>
        <w:sym w:font="Symbol" w:char="F067"/>
      </w:r>
      <w:proofErr w:type="gramStart"/>
      <w:r w:rsidRPr="0087199B">
        <w:rPr>
          <w:vertAlign w:val="subscript"/>
        </w:rPr>
        <w:t>t</w:t>
      </w:r>
      <w:proofErr w:type="gramEnd"/>
      <w:r w:rsidR="00862F58">
        <w:t xml:space="preserve"> = p</w:t>
      </w:r>
      <w:r w:rsidRPr="0087199B">
        <w:t>eso unità di volume del terreno;</w:t>
      </w:r>
    </w:p>
    <w:p w:rsidR="00480272" w:rsidRPr="0087199B" w:rsidRDefault="00862F58" w:rsidP="00E920BF">
      <w:pPr>
        <w:jc w:val="both"/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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proofErr w:type="gramStart"/>
      <w:r w:rsidRPr="00862F58">
        <w:t>i</w:t>
      </w:r>
      <w:r w:rsidR="00480272" w:rsidRPr="0087199B">
        <w:t>nclinazione</w:t>
      </w:r>
      <w:proofErr w:type="gramEnd"/>
      <w:r w:rsidR="00480272" w:rsidRPr="0087199B">
        <w:t xml:space="preserve"> della parete interna rispetto al piano orizzontale passante per il piede;</w:t>
      </w:r>
    </w:p>
    <w:p w:rsidR="00480272" w:rsidRPr="0087199B" w:rsidRDefault="00480272" w:rsidP="00E920BF">
      <w:pPr>
        <w:jc w:val="both"/>
      </w:pPr>
      <w:r w:rsidRPr="0087199B">
        <w:rPr>
          <w:rFonts w:ascii="Symbol" w:hAnsi="Symbol" w:cs="Symbol"/>
        </w:rPr>
        <w:t></w:t>
      </w:r>
      <w:proofErr w:type="gramStart"/>
      <w:r>
        <w:rPr>
          <w:rFonts w:ascii="Segoe UI" w:hAnsi="Segoe UI" w:cs="Segoe UI"/>
        </w:rPr>
        <w:t>φ</w:t>
      </w:r>
      <w:proofErr w:type="gramEnd"/>
      <w:r w:rsidR="00862F58">
        <w:rPr>
          <w:rFonts w:ascii="Symbol" w:hAnsi="Symbol" w:cs="Symbol"/>
        </w:rPr>
        <w:t></w:t>
      </w:r>
      <w:r w:rsidR="00862F58">
        <w:rPr>
          <w:rFonts w:ascii="Symbol" w:hAnsi="Symbol" w:cs="Symbol"/>
        </w:rPr>
        <w:t></w:t>
      </w:r>
      <w:r w:rsidR="00862F58">
        <w:rPr>
          <w:rFonts w:ascii="Symbol" w:hAnsi="Symbol" w:cs="Symbol"/>
        </w:rPr>
        <w:t></w:t>
      </w:r>
      <w:r w:rsidR="00862F58" w:rsidRPr="00862F58">
        <w:t>a</w:t>
      </w:r>
      <w:r w:rsidRPr="0087199B">
        <w:t>ngolo di resistenza al taglio del terreno;</w:t>
      </w:r>
    </w:p>
    <w:p w:rsidR="00480272" w:rsidRPr="0087199B" w:rsidRDefault="00862F58" w:rsidP="00E920BF">
      <w:pPr>
        <w:jc w:val="both"/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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proofErr w:type="gramStart"/>
      <w:r w:rsidRPr="00862F58">
        <w:t>a</w:t>
      </w:r>
      <w:r w:rsidR="00480272" w:rsidRPr="0087199B">
        <w:t>ngolo</w:t>
      </w:r>
      <w:proofErr w:type="gramEnd"/>
      <w:r w:rsidR="00480272" w:rsidRPr="0087199B">
        <w:t xml:space="preserve"> di attrito terra-muro;</w:t>
      </w:r>
    </w:p>
    <w:p w:rsidR="00480272" w:rsidRPr="0087199B" w:rsidRDefault="00480272" w:rsidP="00E920BF">
      <w:pPr>
        <w:jc w:val="both"/>
      </w:pPr>
      <w:r w:rsidRPr="0087199B">
        <w:rPr>
          <w:rFonts w:ascii="Symbol" w:hAnsi="Symbol" w:cs="Symbol"/>
        </w:rPr>
        <w:t></w:t>
      </w:r>
      <w:r w:rsidRPr="0087199B">
        <w:rPr>
          <w:rFonts w:ascii="Symbol" w:hAnsi="Symbol" w:cs="Symbol"/>
        </w:rPr>
        <w:t></w:t>
      </w:r>
      <w:r w:rsidRPr="0087199B">
        <w:rPr>
          <w:rFonts w:ascii="Symbol" w:hAnsi="Symbol" w:cs="Symbol"/>
        </w:rPr>
        <w:t></w:t>
      </w:r>
      <w:r w:rsidRPr="0087199B">
        <w:rPr>
          <w:rFonts w:ascii="Symbol" w:hAnsi="Symbol" w:cs="Symbol"/>
        </w:rPr>
        <w:t></w:t>
      </w:r>
      <w:r w:rsidR="00862F58">
        <w:rPr>
          <w:rFonts w:ascii="Symbol" w:hAnsi="Symbol" w:cs="Symbol"/>
        </w:rPr>
        <w:t></w:t>
      </w:r>
      <w:r w:rsidR="00862F58" w:rsidRPr="00862F58">
        <w:t xml:space="preserve"> i</w:t>
      </w:r>
      <w:proofErr w:type="gramStart"/>
      <w:r w:rsidRPr="0087199B">
        <w:t>nclinazione</w:t>
      </w:r>
      <w:proofErr w:type="gramEnd"/>
      <w:r w:rsidRPr="0087199B">
        <w:t xml:space="preserve"> del piano campagna rispetto al piano orizzontale, positiva se antioraria;</w:t>
      </w:r>
    </w:p>
    <w:p w:rsidR="00480272" w:rsidRPr="0087199B" w:rsidRDefault="00862F58" w:rsidP="00E920BF">
      <w:pPr>
        <w:jc w:val="both"/>
      </w:pPr>
      <w:r>
        <w:t>H= a</w:t>
      </w:r>
      <w:r w:rsidR="00480272" w:rsidRPr="0087199B">
        <w:t>ltezza della parete.</w:t>
      </w:r>
    </w:p>
    <w:p w:rsidR="00480272" w:rsidRPr="0087199B" w:rsidRDefault="00480272" w:rsidP="00E920BF">
      <w:pPr>
        <w:jc w:val="both"/>
      </w:pPr>
    </w:p>
    <w:p w:rsidR="00480272" w:rsidRPr="0087199B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>Calcolo della spinta attiva con Mononobe &amp; Okabe</w:t>
      </w:r>
    </w:p>
    <w:p w:rsidR="00480272" w:rsidRPr="0087199B" w:rsidRDefault="00480272" w:rsidP="00E920BF">
      <w:pPr>
        <w:jc w:val="both"/>
      </w:pPr>
      <w:r w:rsidRPr="0087199B">
        <w:t xml:space="preserve">Il calcolo della spinta attiva con il metodo di </w:t>
      </w:r>
      <w:r w:rsidRPr="0087199B">
        <w:rPr>
          <w:i/>
          <w:iCs/>
        </w:rPr>
        <w:t xml:space="preserve">Mononobe &amp; Okabe </w:t>
      </w:r>
      <w:r w:rsidRPr="0087199B">
        <w:t>riguarda la valutazione della spinta in condizioni sismiche con il metodo pseudo-statico. Esso è</w:t>
      </w:r>
      <w:r w:rsidRPr="0087199B">
        <w:rPr>
          <w:i/>
          <w:iCs/>
        </w:rPr>
        <w:t xml:space="preserve"> </w:t>
      </w:r>
      <w:r w:rsidRPr="0087199B">
        <w:t xml:space="preserve">basato sullo studio dell'equilibrio limite globale del sistema formato dal muro e dal prisma di terreno omogeneo retrostante l'opera e coinvolto nella rottura in una configurazione fittizia di calcolo nella quale l’angolo </w:t>
      </w:r>
      <w:r w:rsidRPr="0087199B">
        <w:rPr>
          <w:rFonts w:ascii="Symbol" w:hAnsi="Symbol" w:cs="Symbol"/>
        </w:rPr>
        <w:t></w:t>
      </w:r>
      <w:r w:rsidRPr="0087199B">
        <w:rPr>
          <w:rFonts w:ascii="Symbol" w:hAnsi="Symbol" w:cs="Symbol"/>
        </w:rPr>
        <w:t></w:t>
      </w:r>
      <w:r w:rsidRPr="0087199B">
        <w:rPr>
          <w:rFonts w:ascii="Symbol" w:hAnsi="Symbol" w:cs="Symbol"/>
        </w:rPr>
        <w:t></w:t>
      </w:r>
      <w:r w:rsidRPr="0087199B">
        <w:rPr>
          <w:rFonts w:ascii="Symbol" w:hAnsi="Symbol" w:cs="Symbol"/>
        </w:rPr>
        <w:t></w:t>
      </w:r>
      <w:r w:rsidRPr="0087199B">
        <w:t xml:space="preserve">di inclinazione del piano campagna rispetto al piano orizzontale, e l’angolo </w:t>
      </w:r>
      <w:r w:rsidRPr="0087199B">
        <w:rPr>
          <w:rFonts w:ascii="Symbol" w:hAnsi="Symbol" w:cs="Symbol"/>
        </w:rPr>
        <w:t></w:t>
      </w:r>
      <w:r w:rsidRPr="0087199B">
        <w:rPr>
          <w:rFonts w:ascii="Symbol" w:hAnsi="Symbol" w:cs="Symbol"/>
        </w:rPr>
        <w:t></w:t>
      </w:r>
      <w:r w:rsidRPr="0087199B">
        <w:rPr>
          <w:rFonts w:ascii="Symbol" w:hAnsi="Symbol" w:cs="Symbol"/>
        </w:rPr>
        <w:t></w:t>
      </w:r>
      <w:r w:rsidRPr="0087199B">
        <w:rPr>
          <w:rFonts w:ascii="Symbol" w:hAnsi="Symbol" w:cs="Symbol"/>
        </w:rPr>
        <w:t></w:t>
      </w:r>
      <w:r w:rsidRPr="0087199B">
        <w:t xml:space="preserve">di inclinazione della parete interna rispetto al piano orizzontale passante per il piede, vengono aumentati di una </w:t>
      </w:r>
      <w:proofErr w:type="gramStart"/>
      <w:r w:rsidRPr="0087199B">
        <w:t xml:space="preserve">quantità </w:t>
      </w:r>
      <w:r w:rsidRPr="0087199B">
        <w:sym w:font="Symbol" w:char="F071"/>
      </w:r>
      <w:r w:rsidRPr="0087199B">
        <w:t xml:space="preserve"> tale</w:t>
      </w:r>
      <w:proofErr w:type="gramEnd"/>
      <w:r w:rsidRPr="0087199B">
        <w:t xml:space="preserve"> che:</w:t>
      </w:r>
    </w:p>
    <w:p w:rsidR="00480272" w:rsidRPr="0087199B" w:rsidRDefault="00480272" w:rsidP="00BA15CA"/>
    <w:p w:rsidR="00480272" w:rsidRPr="0087199B" w:rsidRDefault="00862F58" w:rsidP="008326DA">
      <w:pPr>
        <w:jc w:val="center"/>
        <w:rPr>
          <w:i/>
          <w:iCs/>
        </w:rPr>
      </w:pPr>
      <w:r w:rsidRPr="00980993">
        <w:rPr>
          <w:color w:val="000000"/>
          <w:position w:val="-30"/>
          <w:lang w:val="de-DE"/>
        </w:rPr>
        <w:object w:dxaOrig="1520" w:dyaOrig="720">
          <v:shape id="_x0000_i1057" type="#_x0000_t75" style="width:75.75pt;height:36pt" o:ole="">
            <v:imagedata r:id="rId11" o:title=""/>
          </v:shape>
          <o:OLEObject Type="Embed" ProgID="Equation.3" ShapeID="_x0000_i1057" DrawAspect="Content" ObjectID="_1618324948" r:id="rId12"/>
        </w:object>
      </w:r>
    </w:p>
    <w:p w:rsidR="00480272" w:rsidRPr="0087199B" w:rsidRDefault="00480272" w:rsidP="00E920BF">
      <w:pPr>
        <w:jc w:val="both"/>
      </w:pPr>
      <w:proofErr w:type="gramStart"/>
      <w:r w:rsidRPr="0087199B">
        <w:t>con</w:t>
      </w:r>
      <w:proofErr w:type="gramEnd"/>
      <w:r w:rsidRPr="0087199B">
        <w:t xml:space="preserve"> k</w:t>
      </w:r>
      <w:r w:rsidRPr="0087199B">
        <w:rPr>
          <w:vertAlign w:val="subscript"/>
        </w:rPr>
        <w:t xml:space="preserve">h </w:t>
      </w:r>
      <w:r w:rsidRPr="0087199B">
        <w:t>coefficiente sismico orizzontale e k</w:t>
      </w:r>
      <w:r w:rsidRPr="0087199B">
        <w:rPr>
          <w:vertAlign w:val="subscript"/>
        </w:rPr>
        <w:t>v</w:t>
      </w:r>
      <w:r w:rsidRPr="0087199B">
        <w:t xml:space="preserve"> verticale.</w:t>
      </w:r>
    </w:p>
    <w:p w:rsidR="00480272" w:rsidRPr="0087199B" w:rsidRDefault="00480272" w:rsidP="00E920BF">
      <w:pPr>
        <w:jc w:val="both"/>
      </w:pPr>
    </w:p>
    <w:p w:rsidR="00E66C44" w:rsidRPr="00E66C44" w:rsidRDefault="00E66C44" w:rsidP="00E920BF">
      <w:pPr>
        <w:jc w:val="both"/>
        <w:rPr>
          <w:b/>
        </w:rPr>
      </w:pPr>
      <w:r w:rsidRPr="00E66C44">
        <w:rPr>
          <w:b/>
        </w:rPr>
        <w:t xml:space="preserve">Calcolo coefficienti sismici </w:t>
      </w:r>
    </w:p>
    <w:p w:rsidR="00E66C44" w:rsidRPr="000C1155" w:rsidRDefault="00E66C44" w:rsidP="00E920BF">
      <w:pPr>
        <w:jc w:val="both"/>
      </w:pPr>
      <w:r w:rsidRPr="000C1155">
        <w:t>Nelle verifiche, i valori dei coefficienti sismici orizzontale k</w:t>
      </w:r>
      <w:r w:rsidRPr="00E00CA1">
        <w:rPr>
          <w:vertAlign w:val="subscript"/>
        </w:rPr>
        <w:t>h</w:t>
      </w:r>
      <w:r w:rsidRPr="000C1155">
        <w:t xml:space="preserve"> e verticale k</w:t>
      </w:r>
      <w:r w:rsidRPr="00E00CA1">
        <w:rPr>
          <w:vertAlign w:val="subscript"/>
        </w:rPr>
        <w:t>v</w:t>
      </w:r>
      <w:r w:rsidRPr="000C1155">
        <w:t xml:space="preserve"> possono essere valutati mediante le espressioni (</w:t>
      </w:r>
      <w:r w:rsidRPr="008362A7">
        <w:t>NTC 2018</w:t>
      </w:r>
      <w:r w:rsidRPr="000C1155">
        <w:t>):</w:t>
      </w:r>
    </w:p>
    <w:p w:rsidR="00E66C44" w:rsidRPr="000C1155" w:rsidRDefault="00E66C44" w:rsidP="00E66C44">
      <w:pPr>
        <w:jc w:val="center"/>
      </w:pPr>
      <w:r w:rsidRPr="00E66C44">
        <w:rPr>
          <w:position w:val="-30"/>
          <w:lang w:val="de-DE"/>
        </w:rPr>
        <w:object w:dxaOrig="3180" w:dyaOrig="700">
          <v:shape id="_x0000_i1038" type="#_x0000_t75" style="width:159pt;height:35.25pt" o:ole="">
            <v:imagedata r:id="rId13" o:title=""/>
          </v:shape>
          <o:OLEObject Type="Embed" ProgID="Equation.3" ShapeID="_x0000_i1038" DrawAspect="Content" ObjectID="_1618324949" r:id="rId14"/>
        </w:object>
      </w:r>
    </w:p>
    <w:p w:rsidR="00E66C44" w:rsidRPr="000C1155" w:rsidRDefault="00E66C44" w:rsidP="00E920BF">
      <w:pPr>
        <w:jc w:val="both"/>
      </w:pPr>
      <w:proofErr w:type="gramStart"/>
      <w:r>
        <w:t>d</w:t>
      </w:r>
      <w:r w:rsidRPr="000C1155">
        <w:t>ove</w:t>
      </w:r>
      <w:proofErr w:type="gramEnd"/>
    </w:p>
    <w:p w:rsidR="00E66C44" w:rsidRPr="000C1155" w:rsidRDefault="00E66C44" w:rsidP="00E920BF">
      <w:pPr>
        <w:jc w:val="both"/>
      </w:pPr>
      <w:proofErr w:type="gramStart"/>
      <w:r w:rsidRPr="000C1155">
        <w:t>β</w:t>
      </w:r>
      <w:proofErr w:type="gramEnd"/>
      <w:r w:rsidRPr="008362A7">
        <w:rPr>
          <w:vertAlign w:val="subscript"/>
        </w:rPr>
        <w:t>m</w:t>
      </w:r>
      <w:r w:rsidRPr="000C1155">
        <w:t xml:space="preserve"> = coefficiente di riduzione dell’accelerazione massima attesa al sito;</w:t>
      </w:r>
    </w:p>
    <w:p w:rsidR="00E66C44" w:rsidRPr="000C1155" w:rsidRDefault="00E66C44" w:rsidP="00E920BF">
      <w:pPr>
        <w:jc w:val="both"/>
      </w:pPr>
      <w:proofErr w:type="gramStart"/>
      <w:r w:rsidRPr="000C1155">
        <w:t>a</w:t>
      </w:r>
      <w:r w:rsidRPr="008362A7">
        <w:rPr>
          <w:vertAlign w:val="subscript"/>
        </w:rPr>
        <w:t>max</w:t>
      </w:r>
      <w:proofErr w:type="gramEnd"/>
      <w:r w:rsidRPr="000C1155">
        <w:t xml:space="preserve"> = accelerazione orizzontale massima attesa al sito;</w:t>
      </w:r>
    </w:p>
    <w:p w:rsidR="00E66C44" w:rsidRPr="000C1155" w:rsidRDefault="00E66C44" w:rsidP="00E920BF">
      <w:pPr>
        <w:jc w:val="both"/>
      </w:pPr>
      <w:proofErr w:type="gramStart"/>
      <w:r w:rsidRPr="000C1155">
        <w:t>g</w:t>
      </w:r>
      <w:proofErr w:type="gramEnd"/>
      <w:r w:rsidRPr="000C1155">
        <w:t xml:space="preserve"> = accelerazione di gravità.</w:t>
      </w:r>
    </w:p>
    <w:p w:rsidR="00E920BF" w:rsidRDefault="00E920BF" w:rsidP="00E920BF">
      <w:pPr>
        <w:jc w:val="both"/>
      </w:pPr>
    </w:p>
    <w:p w:rsidR="00E66C44" w:rsidRPr="000C1155" w:rsidRDefault="00E66C44" w:rsidP="00E920BF">
      <w:pPr>
        <w:jc w:val="both"/>
      </w:pPr>
      <w:r w:rsidRPr="000C1155">
        <w:t>In assenza di analisi specifiche della risposta sismica locale, l’accelerazione massima può essere valutata con la relazione</w:t>
      </w:r>
      <w:r>
        <w:t>:</w:t>
      </w:r>
    </w:p>
    <w:p w:rsidR="00E66C44" w:rsidRPr="000C1155" w:rsidRDefault="00E66C44" w:rsidP="00E66C44">
      <w:pPr>
        <w:jc w:val="center"/>
      </w:pPr>
      <w:r w:rsidRPr="00E66C44">
        <w:rPr>
          <w:position w:val="-14"/>
          <w:lang w:val="de-DE"/>
        </w:rPr>
        <w:object w:dxaOrig="2520" w:dyaOrig="360">
          <v:shape id="_x0000_i1037" type="#_x0000_t75" style="width:126pt;height:18pt" o:ole="">
            <v:imagedata r:id="rId15" o:title=""/>
          </v:shape>
          <o:OLEObject Type="Embed" ProgID="Equation.3" ShapeID="_x0000_i1037" DrawAspect="Content" ObjectID="_1618324950" r:id="rId16"/>
        </w:object>
      </w:r>
    </w:p>
    <w:p w:rsidR="00E66C44" w:rsidRPr="000C1155" w:rsidRDefault="00E66C44" w:rsidP="00E920BF">
      <w:pPr>
        <w:jc w:val="both"/>
      </w:pPr>
      <w:proofErr w:type="gramStart"/>
      <w:r w:rsidRPr="000C1155">
        <w:t>dove</w:t>
      </w:r>
      <w:proofErr w:type="gramEnd"/>
    </w:p>
    <w:p w:rsidR="00E66C44" w:rsidRPr="000C1155" w:rsidRDefault="00E66C44" w:rsidP="00E920BF">
      <w:pPr>
        <w:jc w:val="both"/>
      </w:pPr>
      <w:r w:rsidRPr="000C1155">
        <w:t>S = coefficiente che comprende l’effetto dell’amplificazione stratigrafica (S</w:t>
      </w:r>
      <w:r w:rsidRPr="008362A7">
        <w:rPr>
          <w:vertAlign w:val="subscript"/>
        </w:rPr>
        <w:t>S</w:t>
      </w:r>
      <w:r w:rsidRPr="000C1155">
        <w:t>) e dell’amplificazion</w:t>
      </w:r>
      <w:r>
        <w:t>e topografica (S</w:t>
      </w:r>
      <w:r w:rsidRPr="008362A7">
        <w:rPr>
          <w:vertAlign w:val="subscript"/>
        </w:rPr>
        <w:t>T</w:t>
      </w:r>
      <w:r>
        <w:t xml:space="preserve">), di cui al § </w:t>
      </w:r>
      <w:r w:rsidRPr="000C1155">
        <w:t>3.2.3.2;</w:t>
      </w:r>
    </w:p>
    <w:p w:rsidR="00E66C44" w:rsidRPr="000C1155" w:rsidRDefault="00E66C44" w:rsidP="00E920BF">
      <w:pPr>
        <w:jc w:val="both"/>
      </w:pPr>
      <w:proofErr w:type="gramStart"/>
      <w:r w:rsidRPr="000C1155">
        <w:t>a</w:t>
      </w:r>
      <w:r w:rsidRPr="00E66C44">
        <w:rPr>
          <w:vertAlign w:val="subscript"/>
        </w:rPr>
        <w:t>g</w:t>
      </w:r>
      <w:proofErr w:type="gramEnd"/>
      <w:r w:rsidRPr="000C1155">
        <w:t xml:space="preserve"> = accelerazione orizzontale massima attesa su sito di riferimento rigido.</w:t>
      </w:r>
    </w:p>
    <w:p w:rsidR="00862F58" w:rsidRDefault="00862F58" w:rsidP="00E920BF">
      <w:pPr>
        <w:jc w:val="both"/>
      </w:pPr>
    </w:p>
    <w:p w:rsidR="00E66C44" w:rsidRDefault="00E66C44" w:rsidP="00E920BF">
      <w:pPr>
        <w:jc w:val="both"/>
      </w:pPr>
      <w:r w:rsidRPr="000C1155">
        <w:t>Nella precedente espressione, il coefficiente di riduzione dell’accelerazione massima attesa al sito è pari a:</w:t>
      </w:r>
    </w:p>
    <w:p w:rsidR="00862F58" w:rsidRPr="000C1155" w:rsidRDefault="00862F58" w:rsidP="00E920BF">
      <w:pPr>
        <w:jc w:val="both"/>
      </w:pPr>
    </w:p>
    <w:p w:rsidR="00E66C44" w:rsidRPr="000C1155" w:rsidRDefault="00E66C44" w:rsidP="00E920BF">
      <w:pPr>
        <w:jc w:val="both"/>
      </w:pPr>
      <w:proofErr w:type="gramStart"/>
      <w:r w:rsidRPr="000C1155">
        <w:t>β</w:t>
      </w:r>
      <w:proofErr w:type="gramEnd"/>
      <w:r w:rsidRPr="00E00CA1">
        <w:rPr>
          <w:vertAlign w:val="subscript"/>
        </w:rPr>
        <w:t>m</w:t>
      </w:r>
      <w:r w:rsidRPr="000C1155">
        <w:t xml:space="preserve"> = 0.38 nelle verifiche allo stato limite ultimo (SLV)</w:t>
      </w:r>
    </w:p>
    <w:p w:rsidR="00E66C44" w:rsidRDefault="00E66C44" w:rsidP="00E920BF">
      <w:pPr>
        <w:jc w:val="both"/>
      </w:pPr>
      <w:proofErr w:type="gramStart"/>
      <w:r w:rsidRPr="000C1155">
        <w:t>β</w:t>
      </w:r>
      <w:proofErr w:type="gramEnd"/>
      <w:r w:rsidRPr="00E00CA1">
        <w:rPr>
          <w:vertAlign w:val="subscript"/>
        </w:rPr>
        <w:t>m</w:t>
      </w:r>
      <w:r w:rsidRPr="000C1155">
        <w:t xml:space="preserve"> = 0.47 nelle verifiche allo stato limite di esercizio (SLD).</w:t>
      </w:r>
    </w:p>
    <w:p w:rsidR="00870D00" w:rsidRDefault="00870D00" w:rsidP="00E920BF">
      <w:pPr>
        <w:jc w:val="both"/>
      </w:pPr>
    </w:p>
    <w:p w:rsidR="00870D00" w:rsidRPr="00870D00" w:rsidRDefault="00870D00" w:rsidP="00870D00">
      <w:pPr>
        <w:rPr>
          <w:b/>
        </w:rPr>
      </w:pPr>
      <w:r w:rsidRPr="00870D00">
        <w:rPr>
          <w:b/>
        </w:rPr>
        <w:t>Resistenza passiva</w:t>
      </w:r>
    </w:p>
    <w:p w:rsidR="00870D00" w:rsidRDefault="00870D00" w:rsidP="00870D00">
      <w:r>
        <w:t xml:space="preserve">Per terreno omogeneo il diagramma delle pressioni risulta lineare del tipo: </w:t>
      </w:r>
    </w:p>
    <w:p w:rsidR="00870D00" w:rsidRDefault="00870D00" w:rsidP="00870D00"/>
    <w:p w:rsidR="00870D00" w:rsidRDefault="00870D00" w:rsidP="00870D00">
      <w:pPr>
        <w:jc w:val="center"/>
      </w:pPr>
      <w:r w:rsidRPr="00870D00">
        <w:rPr>
          <w:iCs/>
          <w:position w:val="-14"/>
          <w:lang w:val="de-DE"/>
        </w:rPr>
        <w:object w:dxaOrig="1359" w:dyaOrig="360">
          <v:shape id="_x0000_i1055" type="#_x0000_t75" style="width:68.25pt;height:18pt" o:ole="">
            <v:imagedata r:id="rId17" o:title=""/>
          </v:shape>
          <o:OLEObject Type="Embed" ProgID="Equation.3" ShapeID="_x0000_i1055" DrawAspect="Content" ObjectID="_1618324951" r:id="rId18"/>
        </w:object>
      </w:r>
    </w:p>
    <w:p w:rsidR="00870D00" w:rsidRDefault="00870D00" w:rsidP="00870D00">
      <w:proofErr w:type="gramStart"/>
      <w:r>
        <w:t>per</w:t>
      </w:r>
      <w:proofErr w:type="gramEnd"/>
      <w:r>
        <w:t xml:space="preserve"> integrazione si ottiene la spinta passiva:</w:t>
      </w:r>
    </w:p>
    <w:p w:rsidR="00870D00" w:rsidRDefault="00870D00" w:rsidP="00870D00"/>
    <w:p w:rsidR="00870D00" w:rsidRDefault="00870D00" w:rsidP="00870D00">
      <w:pPr>
        <w:jc w:val="center"/>
        <w:rPr>
          <w:lang w:val="de-DE"/>
        </w:rPr>
      </w:pPr>
      <w:r w:rsidRPr="00870D00">
        <w:rPr>
          <w:position w:val="-22"/>
          <w:lang w:val="de-DE"/>
        </w:rPr>
        <w:object w:dxaOrig="1860" w:dyaOrig="580">
          <v:shape id="_x0000_i1054" type="#_x0000_t75" style="width:93pt;height:29.25pt" o:ole="">
            <v:imagedata r:id="rId19" o:title=""/>
          </v:shape>
          <o:OLEObject Type="Embed" ProgID="Equation.3" ShapeID="_x0000_i1054" DrawAspect="Content" ObjectID="_1618324952" r:id="rId20"/>
        </w:object>
      </w:r>
    </w:p>
    <w:p w:rsidR="00870D00" w:rsidRDefault="00870D00" w:rsidP="00870D00">
      <w:r>
        <w:t>Avendo indicato con:</w:t>
      </w:r>
    </w:p>
    <w:p w:rsidR="00870D00" w:rsidRDefault="00870D00" w:rsidP="00870D00"/>
    <w:p w:rsidR="00870D00" w:rsidRDefault="00870D00" w:rsidP="00870D00">
      <w:pPr>
        <w:jc w:val="center"/>
        <w:rPr>
          <w:i/>
          <w:iCs/>
        </w:rPr>
      </w:pPr>
      <w:r w:rsidRPr="00870D00">
        <w:rPr>
          <w:position w:val="-78"/>
        </w:rPr>
        <w:object w:dxaOrig="5020" w:dyaOrig="1219">
          <v:shape id="_x0000_i1053" type="#_x0000_t75" style="width:263.25pt;height:57pt" o:ole="">
            <v:imagedata r:id="rId21" o:title=""/>
          </v:shape>
          <o:OLEObject Type="Embed" ProgID="Equation.3" ShapeID="_x0000_i1053" DrawAspect="Content" ObjectID="_1618324953" r:id="rId22"/>
        </w:object>
      </w:r>
    </w:p>
    <w:p w:rsidR="00870D00" w:rsidRDefault="00870D00" w:rsidP="00870D00">
      <w:r>
        <w:t xml:space="preserve">(Muller-Breslau) con valori limiti </w:t>
      </w:r>
      <w:proofErr w:type="gramStart"/>
      <w:r>
        <w:t xml:space="preserve">di </w:t>
      </w:r>
      <w:r>
        <w:rPr>
          <w:rFonts w:ascii="Symbol" w:hAnsi="Symbol" w:cs="Symbol"/>
          <w:i/>
          <w:iCs/>
        </w:rPr>
        <w:t></w:t>
      </w:r>
      <w:r>
        <w:rPr>
          <w:rFonts w:ascii="Symbol" w:hAnsi="Symbol" w:cs="Symbol"/>
          <w:i/>
          <w:iCs/>
        </w:rPr>
        <w:t></w:t>
      </w:r>
      <w:r>
        <w:t xml:space="preserve"> pari</w:t>
      </w:r>
      <w:proofErr w:type="gramEnd"/>
      <w:r>
        <w:t xml:space="preserve"> a:</w:t>
      </w:r>
    </w:p>
    <w:p w:rsidR="00870D00" w:rsidRDefault="00870D00" w:rsidP="00870D00">
      <w:pPr>
        <w:rPr>
          <w:i/>
          <w:iCs/>
        </w:rPr>
      </w:pPr>
    </w:p>
    <w:p w:rsidR="00870D00" w:rsidRDefault="00870D00" w:rsidP="00870D00">
      <w:pPr>
        <w:rPr>
          <w:lang w:val="de-DE"/>
        </w:rPr>
      </w:pPr>
      <w:r w:rsidRPr="00C754E1">
        <w:rPr>
          <w:position w:val="-10"/>
          <w:lang w:val="de-DE"/>
        </w:rPr>
        <w:object w:dxaOrig="1219" w:dyaOrig="300">
          <v:shape id="_x0000_i1052" type="#_x0000_t75" style="width:60.75pt;height:15pt" o:ole="">
            <v:imagedata r:id="rId23" o:title=""/>
          </v:shape>
          <o:OLEObject Type="Embed" ProgID="Equation.3" ShapeID="_x0000_i1052" DrawAspect="Content" ObjectID="_1618324954" r:id="rId24"/>
        </w:object>
      </w:r>
    </w:p>
    <w:p w:rsidR="00870D00" w:rsidRDefault="00870D00" w:rsidP="00870D00">
      <w:r>
        <w:t>L'espressione di K</w:t>
      </w:r>
      <w:r>
        <w:rPr>
          <w:vertAlign w:val="subscript"/>
        </w:rPr>
        <w:t>p</w:t>
      </w:r>
      <w:r>
        <w:t xml:space="preserve"> secondo la formulazione di Rankine assume la seguente forma:</w:t>
      </w:r>
    </w:p>
    <w:p w:rsidR="00870D00" w:rsidRDefault="00870D00" w:rsidP="00870D00"/>
    <w:p w:rsidR="00870D00" w:rsidRDefault="00870D00" w:rsidP="00870D00">
      <w:pPr>
        <w:jc w:val="center"/>
        <w:rPr>
          <w:rFonts w:ascii="Symbol" w:hAnsi="Symbol" w:cs="Symbol"/>
        </w:rPr>
      </w:pPr>
      <w:r w:rsidRPr="00870D00">
        <w:rPr>
          <w:position w:val="-40"/>
        </w:rPr>
        <w:object w:dxaOrig="2740" w:dyaOrig="920">
          <v:shape id="_x0000_i1051" type="#_x0000_t75" style="width:137.25pt;height:45.75pt" o:ole="">
            <v:imagedata r:id="rId25" o:title=""/>
          </v:shape>
          <o:OLEObject Type="Embed" ProgID="Equation.3" ShapeID="_x0000_i1051" DrawAspect="Content" ObjectID="_1618324955" r:id="rId26"/>
        </w:object>
      </w:r>
    </w:p>
    <w:p w:rsidR="00870D00" w:rsidRDefault="00870D00" w:rsidP="00870D00"/>
    <w:p w:rsidR="00480272" w:rsidRPr="0087199B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>Spinta idrostatica</w:t>
      </w:r>
    </w:p>
    <w:p w:rsidR="00480272" w:rsidRPr="0087199B" w:rsidRDefault="00480272" w:rsidP="00E920BF">
      <w:pPr>
        <w:jc w:val="both"/>
      </w:pPr>
      <w:r w:rsidRPr="0087199B">
        <w:t xml:space="preserve">La falda con superficie distante </w:t>
      </w:r>
      <w:r w:rsidRPr="0087199B">
        <w:rPr>
          <w:i/>
          <w:iCs/>
        </w:rPr>
        <w:t>H</w:t>
      </w:r>
      <w:r w:rsidRPr="0087199B">
        <w:rPr>
          <w:i/>
          <w:iCs/>
          <w:vertAlign w:val="subscript"/>
        </w:rPr>
        <w:t>w</w:t>
      </w:r>
      <w:r w:rsidRPr="0087199B">
        <w:t xml:space="preserve"> dalla base del muro induce delle pressioni idrostatiche normali alla parete che, alla profondità </w:t>
      </w:r>
      <w:r w:rsidRPr="0087199B">
        <w:rPr>
          <w:i/>
          <w:iCs/>
        </w:rPr>
        <w:t xml:space="preserve">z, </w:t>
      </w:r>
      <w:r w:rsidRPr="0087199B">
        <w:t>sono espresse come segue:</w:t>
      </w:r>
    </w:p>
    <w:p w:rsidR="00480272" w:rsidRPr="0087199B" w:rsidRDefault="00480272" w:rsidP="00BA15CA"/>
    <w:p w:rsidR="00480272" w:rsidRPr="0087199B" w:rsidRDefault="00870D00" w:rsidP="00BA15CA">
      <w:pPr>
        <w:jc w:val="center"/>
      </w:pPr>
      <w:r w:rsidRPr="00FC0AB2">
        <w:rPr>
          <w:color w:val="000000"/>
          <w:position w:val="-10"/>
        </w:rPr>
        <w:object w:dxaOrig="1400" w:dyaOrig="320">
          <v:shape id="_x0000_i1040" type="#_x0000_t75" style="width:69.75pt;height:15.75pt" o:ole="">
            <v:imagedata r:id="rId27" o:title=""/>
          </v:shape>
          <o:OLEObject Type="Embed" ProgID="Equation.3" ShapeID="_x0000_i1040" DrawAspect="Content" ObjectID="_1618324956" r:id="rId28"/>
        </w:object>
      </w:r>
    </w:p>
    <w:p w:rsidR="00480272" w:rsidRPr="0087199B" w:rsidRDefault="00480272" w:rsidP="00E920BF">
      <w:pPr>
        <w:jc w:val="both"/>
      </w:pPr>
      <w:r w:rsidRPr="0087199B">
        <w:t xml:space="preserve">Con risultante pari a: </w:t>
      </w:r>
    </w:p>
    <w:p w:rsidR="00480272" w:rsidRPr="0087199B" w:rsidRDefault="008326DA" w:rsidP="00BA15CA">
      <w:pPr>
        <w:jc w:val="center"/>
        <w:rPr>
          <w:i/>
          <w:iCs/>
        </w:rPr>
      </w:pPr>
      <w:r w:rsidRPr="008326DA">
        <w:rPr>
          <w:color w:val="000000"/>
          <w:position w:val="-22"/>
        </w:rPr>
        <w:object w:dxaOrig="1500" w:dyaOrig="580">
          <v:shape id="_x0000_i1032" type="#_x0000_t75" style="width:75pt;height:29.25pt" o:ole="">
            <v:imagedata r:id="rId29" o:title=""/>
          </v:shape>
          <o:OLEObject Type="Embed" ProgID="Equation.3" ShapeID="_x0000_i1032" DrawAspect="Content" ObjectID="_1618324957" r:id="rId30"/>
        </w:object>
      </w:r>
    </w:p>
    <w:p w:rsidR="00480272" w:rsidRPr="0087199B" w:rsidRDefault="00480272" w:rsidP="00E920BF">
      <w:pPr>
        <w:jc w:val="both"/>
      </w:pPr>
      <w:r w:rsidRPr="0087199B">
        <w:t xml:space="preserve">La spinta del terreno immerso si ottiene sostituendo </w:t>
      </w:r>
      <w:r w:rsidRPr="0087199B">
        <w:sym w:font="Symbol" w:char="F067"/>
      </w:r>
      <w:r w:rsidRPr="0087199B">
        <w:rPr>
          <w:vertAlign w:val="subscript"/>
        </w:rPr>
        <w:t>t</w:t>
      </w:r>
      <w:r w:rsidRPr="0087199B">
        <w:t xml:space="preserve"> con </w:t>
      </w:r>
      <w:r w:rsidRPr="0087199B">
        <w:sym w:font="Symbol" w:char="F067"/>
      </w:r>
      <w:r w:rsidRPr="0087199B">
        <w:t>'</w:t>
      </w:r>
      <w:r w:rsidRPr="0087199B">
        <w:rPr>
          <w:vertAlign w:val="subscript"/>
        </w:rPr>
        <w:t>t</w:t>
      </w:r>
      <w:r w:rsidRPr="0087199B">
        <w:t xml:space="preserve"> (</w:t>
      </w:r>
      <w:r w:rsidRPr="0087199B">
        <w:sym w:font="Symbol" w:char="F067"/>
      </w:r>
      <w:r w:rsidRPr="0087199B">
        <w:t>'</w:t>
      </w:r>
      <w:r w:rsidRPr="0087199B">
        <w:rPr>
          <w:vertAlign w:val="subscript"/>
        </w:rPr>
        <w:t>t</w:t>
      </w:r>
      <w:r w:rsidRPr="0087199B">
        <w:t xml:space="preserve"> = </w:t>
      </w:r>
      <w:r w:rsidRPr="0087199B">
        <w:sym w:font="Symbol" w:char="F067"/>
      </w:r>
      <w:r w:rsidRPr="0087199B">
        <w:rPr>
          <w:vertAlign w:val="subscript"/>
        </w:rPr>
        <w:t>saturo</w:t>
      </w:r>
      <w:r w:rsidRPr="0087199B">
        <w:t xml:space="preserve"> - </w:t>
      </w:r>
      <w:r w:rsidRPr="0087199B">
        <w:sym w:font="Symbol" w:char="F067"/>
      </w:r>
      <w:r w:rsidRPr="0087199B">
        <w:rPr>
          <w:vertAlign w:val="subscript"/>
        </w:rPr>
        <w:t>w</w:t>
      </w:r>
      <w:r w:rsidRPr="0087199B">
        <w:t>), peso efficace del materiale immerso in acqua.</w:t>
      </w:r>
    </w:p>
    <w:p w:rsidR="00480272" w:rsidRPr="0087199B" w:rsidRDefault="00480272" w:rsidP="00BA15CA"/>
    <w:p w:rsidR="00E66C44" w:rsidRPr="00E66C44" w:rsidRDefault="00E66C44" w:rsidP="00E920BF">
      <w:pPr>
        <w:jc w:val="both"/>
        <w:rPr>
          <w:b/>
        </w:rPr>
      </w:pPr>
      <w:bookmarkStart w:id="1" w:name="_Toc197163945"/>
      <w:bookmarkStart w:id="2" w:name="_Toc197163972"/>
      <w:r w:rsidRPr="00E66C44">
        <w:rPr>
          <w:b/>
        </w:rPr>
        <w:t>Carico uniforme sul terrapieno</w:t>
      </w:r>
    </w:p>
    <w:p w:rsidR="00E66C44" w:rsidRDefault="00E66C44" w:rsidP="00E920BF">
      <w:pPr>
        <w:jc w:val="both"/>
      </w:pPr>
      <w:r>
        <w:t xml:space="preserve">Un carico </w:t>
      </w:r>
      <w:r>
        <w:rPr>
          <w:i/>
          <w:iCs/>
        </w:rPr>
        <w:t>Q</w:t>
      </w:r>
      <w:r>
        <w:t xml:space="preserve">, uniformemente distribuito sul piano campagna </w:t>
      </w:r>
      <w:r>
        <w:t xml:space="preserve">e infinitamente esteso </w:t>
      </w:r>
      <w:r>
        <w:t>induce delle pressioni costanti pari a:</w:t>
      </w:r>
    </w:p>
    <w:p w:rsidR="00E66C44" w:rsidRDefault="00E66C44" w:rsidP="00E66C44"/>
    <w:p w:rsidR="00E66C44" w:rsidRDefault="00870D00" w:rsidP="00E66C44">
      <w:pPr>
        <w:jc w:val="center"/>
      </w:pPr>
      <w:r w:rsidRPr="00E66C44">
        <w:rPr>
          <w:i/>
          <w:iCs/>
          <w:position w:val="-14"/>
        </w:rPr>
        <w:object w:dxaOrig="1180" w:dyaOrig="360">
          <v:shape id="_x0000_i1049" type="#_x0000_t75" style="width:59.25pt;height:18pt" o:ole="">
            <v:imagedata r:id="rId31" o:title=""/>
          </v:shape>
          <o:OLEObject Type="Embed" ProgID="Equation.3" ShapeID="_x0000_i1049" DrawAspect="Content" ObjectID="_1618324958" r:id="rId32"/>
        </w:object>
      </w:r>
    </w:p>
    <w:p w:rsidR="00E66C44" w:rsidRDefault="00E66C44" w:rsidP="00E66C44">
      <w:r>
        <w:t>Per integrazione, una spinta pari a S</w:t>
      </w:r>
      <w:r>
        <w:rPr>
          <w:vertAlign w:val="subscript"/>
        </w:rPr>
        <w:t>q</w:t>
      </w:r>
      <w:r>
        <w:t>:</w:t>
      </w:r>
    </w:p>
    <w:p w:rsidR="00E66C44" w:rsidRDefault="00E66C44" w:rsidP="00E66C44"/>
    <w:p w:rsidR="00E66C44" w:rsidRDefault="00870D00" w:rsidP="00E66C44">
      <w:pPr>
        <w:jc w:val="center"/>
        <w:rPr>
          <w:i/>
          <w:iCs/>
        </w:rPr>
      </w:pPr>
      <w:r w:rsidRPr="00E66C44">
        <w:rPr>
          <w:i/>
          <w:iCs/>
          <w:position w:val="-14"/>
        </w:rPr>
        <w:object w:dxaOrig="1480" w:dyaOrig="360">
          <v:shape id="_x0000_i1048" type="#_x0000_t75" style="width:74.25pt;height:18pt" o:ole="">
            <v:imagedata r:id="rId33" o:title=""/>
          </v:shape>
          <o:OLEObject Type="Embed" ProgID="Equation.3" ShapeID="_x0000_i1048" DrawAspect="Content" ObjectID="_1618324959" r:id="rId34"/>
        </w:object>
      </w:r>
    </w:p>
    <w:p w:rsidR="00870D00" w:rsidRPr="00870D00" w:rsidRDefault="00870D00" w:rsidP="00BA15CA">
      <w:pPr>
        <w:rPr>
          <w:bCs/>
        </w:rPr>
      </w:pPr>
    </w:p>
    <w:p w:rsidR="003332BE" w:rsidRDefault="003332BE" w:rsidP="00E920BF">
      <w:pPr>
        <w:jc w:val="both"/>
        <w:rPr>
          <w:b/>
        </w:rPr>
      </w:pPr>
      <w:r>
        <w:rPr>
          <w:b/>
        </w:rPr>
        <w:t>Verifica a scorrimento</w:t>
      </w:r>
    </w:p>
    <w:p w:rsidR="003332BE" w:rsidRDefault="003332BE" w:rsidP="00E920BF">
      <w:pPr>
        <w:jc w:val="both"/>
      </w:pPr>
      <w:r>
        <w:t>La condizione di verifica a traslazione orizzontale è espressa dalla seguente disequazione:</w:t>
      </w:r>
    </w:p>
    <w:p w:rsidR="003332BE" w:rsidRDefault="003332BE" w:rsidP="00BA15CA"/>
    <w:p w:rsidR="003332BE" w:rsidRDefault="00870D00" w:rsidP="00E920BF">
      <w:pPr>
        <w:jc w:val="center"/>
        <w:rPr>
          <w:i/>
          <w:iCs/>
        </w:rPr>
      </w:pPr>
      <w:r w:rsidRPr="003332BE">
        <w:rPr>
          <w:i/>
          <w:iCs/>
          <w:position w:val="-28"/>
        </w:rPr>
        <w:object w:dxaOrig="2120" w:dyaOrig="700">
          <v:shape id="_x0000_i1047" type="#_x0000_t75" style="width:105.75pt;height:35.25pt" o:ole="">
            <v:imagedata r:id="rId35" o:title=""/>
          </v:shape>
          <o:OLEObject Type="Embed" ProgID="Equation.3" ShapeID="_x0000_i1047" DrawAspect="Content" ObjectID="_1618324960" r:id="rId36"/>
        </w:object>
      </w:r>
    </w:p>
    <w:p w:rsidR="003332BE" w:rsidRPr="003332BE" w:rsidRDefault="003332BE" w:rsidP="00E920BF">
      <w:pPr>
        <w:jc w:val="both"/>
        <w:rPr>
          <w:bCs/>
        </w:rPr>
      </w:pPr>
      <w:r w:rsidRPr="003332BE">
        <w:rPr>
          <w:bCs/>
        </w:rPr>
        <w:t>Dove:</w:t>
      </w:r>
    </w:p>
    <w:p w:rsidR="003332BE" w:rsidRPr="003332BE" w:rsidRDefault="003332BE" w:rsidP="00E920BF">
      <w:pPr>
        <w:jc w:val="both"/>
        <w:rPr>
          <w:bCs/>
        </w:rPr>
      </w:pPr>
      <w:r w:rsidRPr="003332BE">
        <w:rPr>
          <w:bCs/>
        </w:rPr>
        <w:t>F</w:t>
      </w:r>
      <w:r w:rsidRPr="003332BE">
        <w:rPr>
          <w:bCs/>
          <w:vertAlign w:val="subscript"/>
        </w:rPr>
        <w:t>y</w:t>
      </w:r>
      <w:r>
        <w:rPr>
          <w:bCs/>
        </w:rPr>
        <w:t>= risultante di tutte le azioni verticale sulla superficie di contatto terreno-fondazione</w:t>
      </w:r>
    </w:p>
    <w:p w:rsidR="00E920BF" w:rsidRPr="003332BE" w:rsidRDefault="00E920BF" w:rsidP="00E920BF">
      <w:pPr>
        <w:jc w:val="both"/>
        <w:rPr>
          <w:bCs/>
        </w:rPr>
      </w:pPr>
      <w:r w:rsidRPr="003332BE">
        <w:rPr>
          <w:bCs/>
        </w:rPr>
        <w:t>F</w:t>
      </w:r>
      <w:r>
        <w:rPr>
          <w:bCs/>
          <w:vertAlign w:val="subscript"/>
        </w:rPr>
        <w:t>x</w:t>
      </w:r>
      <w:r>
        <w:rPr>
          <w:bCs/>
        </w:rPr>
        <w:t xml:space="preserve">= risultante di tutte le azioni </w:t>
      </w:r>
      <w:r>
        <w:rPr>
          <w:bCs/>
        </w:rPr>
        <w:t>orizzontali</w:t>
      </w:r>
      <w:r>
        <w:rPr>
          <w:bCs/>
        </w:rPr>
        <w:t xml:space="preserve"> sulla superficie di contatto terreno-fondazione</w:t>
      </w:r>
    </w:p>
    <w:p w:rsidR="003332BE" w:rsidRPr="003332BE" w:rsidRDefault="00E920BF" w:rsidP="00E920BF">
      <w:pPr>
        <w:jc w:val="both"/>
        <w:rPr>
          <w:bCs/>
        </w:rPr>
      </w:pPr>
      <w:proofErr w:type="gramStart"/>
      <w:r>
        <w:rPr>
          <w:bCs/>
        </w:rPr>
        <w:lastRenderedPageBreak/>
        <w:t>c</w:t>
      </w:r>
      <w:r w:rsidRPr="00E920BF">
        <w:rPr>
          <w:bCs/>
          <w:vertAlign w:val="subscript"/>
        </w:rPr>
        <w:t>a</w:t>
      </w:r>
      <w:proofErr w:type="gramEnd"/>
      <w:r>
        <w:rPr>
          <w:bCs/>
        </w:rPr>
        <w:t>= adesione</w:t>
      </w:r>
    </w:p>
    <w:p w:rsidR="003332BE" w:rsidRPr="00E920BF" w:rsidRDefault="00E920BF" w:rsidP="00E920BF">
      <w:pPr>
        <w:jc w:val="both"/>
        <w:rPr>
          <w:bCs/>
        </w:rPr>
      </w:pPr>
      <w:r w:rsidRPr="00E920BF">
        <w:rPr>
          <w:bCs/>
        </w:rPr>
        <w:t>B= base della fondazione</w:t>
      </w:r>
    </w:p>
    <w:p w:rsidR="003332BE" w:rsidRDefault="003332BE" w:rsidP="00BA15CA">
      <w:pPr>
        <w:rPr>
          <w:b/>
          <w:bCs/>
        </w:rPr>
      </w:pPr>
    </w:p>
    <w:p w:rsidR="00480272" w:rsidRPr="0087199B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>Carico limite di fondazioni superficiali su terreni</w:t>
      </w:r>
      <w:bookmarkEnd w:id="1"/>
      <w:bookmarkEnd w:id="2"/>
    </w:p>
    <w:p w:rsidR="00E920BF" w:rsidRDefault="00480272" w:rsidP="00E920BF">
      <w:pPr>
        <w:jc w:val="both"/>
        <w:rPr>
          <w:b/>
          <w:bCs/>
        </w:rPr>
      </w:pPr>
      <w:r w:rsidRPr="0087199B">
        <w:rPr>
          <w:b/>
          <w:bCs/>
        </w:rPr>
        <w:t xml:space="preserve">Metodo di </w:t>
      </w:r>
      <w:r w:rsidR="00E920BF">
        <w:rPr>
          <w:b/>
          <w:bCs/>
        </w:rPr>
        <w:t>Vesic</w:t>
      </w:r>
    </w:p>
    <w:p w:rsidR="00480272" w:rsidRDefault="00480272" w:rsidP="00E920BF">
      <w:pPr>
        <w:jc w:val="both"/>
      </w:pPr>
      <w:r w:rsidRPr="0087199B">
        <w:t>Affinché la fondazione di un muro possa resistere il carico di progetto con sicurezza nei riguardi della rottura generale deve essere soddisfatta la seguente disuguaglianza:</w:t>
      </w:r>
    </w:p>
    <w:p w:rsidR="00BA15CA" w:rsidRPr="009404BC" w:rsidRDefault="00BA15CA" w:rsidP="00BA15CA">
      <w:pPr>
        <w:rPr>
          <w:b/>
          <w:bCs/>
        </w:rPr>
      </w:pPr>
    </w:p>
    <w:p w:rsidR="00480272" w:rsidRPr="00BA15CA" w:rsidRDefault="00480272" w:rsidP="00BA15CA">
      <w:pPr>
        <w:jc w:val="center"/>
        <w:rPr>
          <w:b/>
        </w:rPr>
      </w:pPr>
      <w:r w:rsidRPr="00BA15CA">
        <w:rPr>
          <w:b/>
        </w:rPr>
        <w:t>V</w:t>
      </w:r>
      <w:r w:rsidRPr="00BA15CA">
        <w:rPr>
          <w:b/>
          <w:vertAlign w:val="subscript"/>
        </w:rPr>
        <w:t>d</w:t>
      </w:r>
      <w:r w:rsidRPr="00BA15CA">
        <w:rPr>
          <w:b/>
        </w:rPr>
        <w:t xml:space="preserve"> ≤ R</w:t>
      </w:r>
      <w:r w:rsidRPr="00BA15CA">
        <w:rPr>
          <w:b/>
          <w:vertAlign w:val="subscript"/>
        </w:rPr>
        <w:t>d</w:t>
      </w:r>
    </w:p>
    <w:p w:rsidR="00480272" w:rsidRPr="0087199B" w:rsidRDefault="00480272" w:rsidP="00E920BF">
      <w:pPr>
        <w:jc w:val="both"/>
      </w:pPr>
      <w:r w:rsidRPr="0087199B">
        <w:t>Dove V</w:t>
      </w:r>
      <w:r w:rsidRPr="009404BC">
        <w:rPr>
          <w:vertAlign w:val="subscript"/>
        </w:rPr>
        <w:t>d</w:t>
      </w:r>
      <w:r w:rsidRPr="0087199B">
        <w:t xml:space="preserve"> è il carico di progetto, normale alla base della fondazione, comprendente anche il peso del muro; mentre R</w:t>
      </w:r>
      <w:r w:rsidRPr="009404BC">
        <w:rPr>
          <w:vertAlign w:val="subscript"/>
        </w:rPr>
        <w:t>d</w:t>
      </w:r>
      <w:r w:rsidRPr="0087199B">
        <w:t xml:space="preserve"> è il carico limite di progetto della fondazione nei confronti di carichi normali, tenendo conto anche dell’effetto di carichi inclinati o eccentrici. </w:t>
      </w:r>
    </w:p>
    <w:p w:rsidR="00480272" w:rsidRPr="0087199B" w:rsidRDefault="00480272" w:rsidP="00E920BF">
      <w:pPr>
        <w:jc w:val="both"/>
      </w:pPr>
      <w:r w:rsidRPr="0087199B">
        <w:t>Nella valutazione analitica del carico limite di progetto R</w:t>
      </w:r>
      <w:r w:rsidRPr="009404BC">
        <w:rPr>
          <w:vertAlign w:val="subscript"/>
        </w:rPr>
        <w:t xml:space="preserve">d </w:t>
      </w:r>
      <w:r w:rsidRPr="0087199B">
        <w:t>si devono considerare le situazioni a breve e a lungo termine nei terreni a grana fine. Il carico limite di progetto in condizioni non drenate si calcola come:</w:t>
      </w:r>
    </w:p>
    <w:p w:rsidR="00480272" w:rsidRPr="0087199B" w:rsidRDefault="008326DA" w:rsidP="00BA15CA">
      <w:pPr>
        <w:jc w:val="center"/>
      </w:pPr>
      <w:r w:rsidRPr="00591F2E">
        <w:rPr>
          <w:color w:val="000000"/>
          <w:position w:val="-22"/>
          <w:lang w:val="de-DE"/>
        </w:rPr>
        <w:object w:dxaOrig="2520" w:dyaOrig="580">
          <v:shape id="_x0000_i1030" type="#_x0000_t75" style="width:126pt;height:29.25pt" o:ole="">
            <v:imagedata r:id="rId37" o:title=""/>
          </v:shape>
          <o:OLEObject Type="Embed" ProgID="Equation.3" ShapeID="_x0000_i1030" DrawAspect="Content" ObjectID="_1618324961" r:id="rId38"/>
        </w:object>
      </w:r>
    </w:p>
    <w:p w:rsidR="00480272" w:rsidRPr="0087199B" w:rsidRDefault="00480272" w:rsidP="00E920BF">
      <w:pPr>
        <w:jc w:val="both"/>
      </w:pPr>
      <w:r w:rsidRPr="0087199B">
        <w:t>Dove:</w:t>
      </w:r>
    </w:p>
    <w:p w:rsidR="00480272" w:rsidRPr="0087199B" w:rsidRDefault="00480272" w:rsidP="00E920BF">
      <w:pPr>
        <w:jc w:val="both"/>
      </w:pPr>
      <w:r>
        <w:t>A’ =</w:t>
      </w:r>
      <w:r w:rsidR="00862F58" w:rsidRPr="00862F58">
        <w:t xml:space="preserve"> </w:t>
      </w:r>
      <w:r w:rsidR="00862F58" w:rsidRPr="0087199B">
        <w:t>A</w:t>
      </w:r>
      <w:r w:rsidR="00862F58" w:rsidRPr="0087199B">
        <w:rPr>
          <w:vertAlign w:val="subscript"/>
        </w:rPr>
        <w:t>f</w:t>
      </w:r>
      <w:r w:rsidR="00862F58">
        <w:rPr>
          <w:vertAlign w:val="subscript"/>
        </w:rPr>
        <w:t xml:space="preserve"> </w:t>
      </w:r>
      <w:proofErr w:type="gramStart"/>
      <w:r w:rsidR="00862F58" w:rsidRPr="00862F58">
        <w:t>=</w:t>
      </w:r>
      <w:r w:rsidR="00862F58">
        <w:rPr>
          <w:vertAlign w:val="subscript"/>
        </w:rPr>
        <w:t xml:space="preserve"> </w:t>
      </w:r>
      <w:r>
        <w:t xml:space="preserve"> B</w:t>
      </w:r>
      <w:proofErr w:type="gramEnd"/>
      <w:r>
        <w:t xml:space="preserve">’ </w:t>
      </w:r>
      <w:r w:rsidRPr="0087199B">
        <w:t xml:space="preserve">L’ </w:t>
      </w:r>
      <w:r w:rsidR="00E920BF">
        <w:t xml:space="preserve">= </w:t>
      </w:r>
      <w:r w:rsidRPr="0087199B">
        <w:t xml:space="preserve">area della fondazione efficace di progetto, intesa, in caso di carico eccentrico, come l’area ridotta al cui centro viene applicata la risultante del carico. </w:t>
      </w:r>
    </w:p>
    <w:p w:rsidR="00E920BF" w:rsidRDefault="008326DA" w:rsidP="00E920BF">
      <w:pPr>
        <w:jc w:val="both"/>
      </w:pPr>
      <w:proofErr w:type="gramStart"/>
      <w:r>
        <w:t>c</w:t>
      </w:r>
      <w:r w:rsidR="00480272" w:rsidRPr="00980993">
        <w:rPr>
          <w:position w:val="-5"/>
          <w:sz w:val="16"/>
          <w:szCs w:val="16"/>
        </w:rPr>
        <w:t>u</w:t>
      </w:r>
      <w:proofErr w:type="gramEnd"/>
      <w:r>
        <w:t xml:space="preserve"> </w:t>
      </w:r>
      <w:r w:rsidR="00E920BF">
        <w:t xml:space="preserve">= </w:t>
      </w:r>
      <w:r w:rsidR="00480272" w:rsidRPr="0087199B">
        <w:t>coesione non drenata</w:t>
      </w:r>
    </w:p>
    <w:p w:rsidR="00E920BF" w:rsidRDefault="008326DA" w:rsidP="00E920BF">
      <w:pPr>
        <w:jc w:val="both"/>
      </w:pPr>
      <w:proofErr w:type="gramStart"/>
      <w:r>
        <w:t>q</w:t>
      </w:r>
      <w:proofErr w:type="gramEnd"/>
      <w:r>
        <w:t xml:space="preserve"> </w:t>
      </w:r>
      <w:r w:rsidR="00E920BF">
        <w:t xml:space="preserve">= </w:t>
      </w:r>
      <w:r w:rsidR="00480272" w:rsidRPr="0087199B">
        <w:t>pressione litostatica totale sul piano di posa</w:t>
      </w:r>
    </w:p>
    <w:p w:rsidR="00480272" w:rsidRPr="0087199B" w:rsidRDefault="00480272" w:rsidP="00E920BF">
      <w:pPr>
        <w:jc w:val="both"/>
      </w:pPr>
      <w:proofErr w:type="gramStart"/>
      <w:r w:rsidRPr="0087199B">
        <w:t>s</w:t>
      </w:r>
      <w:r w:rsidRPr="00980993">
        <w:rPr>
          <w:position w:val="-5"/>
          <w:sz w:val="16"/>
          <w:szCs w:val="16"/>
        </w:rPr>
        <w:t>c</w:t>
      </w:r>
      <w:proofErr w:type="gramEnd"/>
      <w:r w:rsidR="008326DA">
        <w:rPr>
          <w:position w:val="-5"/>
        </w:rPr>
        <w:t xml:space="preserve"> </w:t>
      </w:r>
      <w:r w:rsidR="00E920BF">
        <w:rPr>
          <w:position w:val="-5"/>
        </w:rPr>
        <w:t xml:space="preserve">= </w:t>
      </w:r>
      <w:r>
        <w:t>f</w:t>
      </w:r>
      <w:r w:rsidRPr="0087199B">
        <w:t xml:space="preserve">attore di forma </w:t>
      </w:r>
    </w:p>
    <w:p w:rsidR="00E920BF" w:rsidRDefault="00870D00" w:rsidP="00BA15CA">
      <w:pPr>
        <w:rPr>
          <w:color w:val="000000"/>
          <w:lang w:val="de-DE"/>
        </w:rPr>
      </w:pPr>
      <w:r w:rsidRPr="00BA15CA">
        <w:rPr>
          <w:color w:val="000000"/>
          <w:position w:val="-28"/>
          <w:lang w:val="de-DE"/>
        </w:rPr>
        <w:object w:dxaOrig="1660" w:dyaOrig="660">
          <v:shape id="_x0000_i1050" type="#_x0000_t75" style="width:83.25pt;height:33pt" o:ole="">
            <v:imagedata r:id="rId39" o:title=""/>
          </v:shape>
          <o:OLEObject Type="Embed" ProgID="Equation.3" ShapeID="_x0000_i1050" DrawAspect="Content" ObjectID="_1618324962" r:id="rId40"/>
        </w:object>
      </w:r>
      <w:r w:rsidR="003332BE">
        <w:t xml:space="preserve"> </w:t>
      </w:r>
      <w:proofErr w:type="gramStart"/>
      <w:r w:rsidR="00480272" w:rsidRPr="0087199B">
        <w:t>per</w:t>
      </w:r>
      <w:proofErr w:type="gramEnd"/>
      <w:r w:rsidR="00480272" w:rsidRPr="0087199B">
        <w:t xml:space="preserve"> fondazioni rettangolari</w:t>
      </w:r>
      <w:r w:rsidR="00480272">
        <w:t>,</w:t>
      </w:r>
      <w:r w:rsidR="00480272" w:rsidRPr="00980993">
        <w:rPr>
          <w:color w:val="000000"/>
          <w:lang w:val="de-DE"/>
        </w:rPr>
        <w:t xml:space="preserve"> </w:t>
      </w:r>
      <w:r w:rsidR="00480272">
        <w:rPr>
          <w:color w:val="000000"/>
          <w:lang w:val="de-DE"/>
        </w:rPr>
        <w:t>il valore di s</w:t>
      </w:r>
      <w:r w:rsidR="00480272" w:rsidRPr="00601935">
        <w:rPr>
          <w:color w:val="000000"/>
          <w:vertAlign w:val="subscript"/>
          <w:lang w:val="de-DE"/>
        </w:rPr>
        <w:t>c</w:t>
      </w:r>
      <w:r w:rsidR="00480272">
        <w:rPr>
          <w:color w:val="000000"/>
          <w:lang w:val="de-DE"/>
        </w:rPr>
        <w:t xml:space="preserve"> viene assunto pari ad 1 per fondazioni nastriformi</w:t>
      </w:r>
    </w:p>
    <w:p w:rsidR="00480272" w:rsidRDefault="00870D00" w:rsidP="00E920BF">
      <w:pPr>
        <w:jc w:val="center"/>
      </w:pPr>
      <w:r w:rsidRPr="0087199B">
        <w:rPr>
          <w:position w:val="-28"/>
        </w:rPr>
        <w:object w:dxaOrig="1860" w:dyaOrig="639">
          <v:shape id="_x0000_i1046" type="#_x0000_t75" style="width:93pt;height:32.25pt" o:ole="">
            <v:imagedata r:id="rId41" o:title=""/>
          </v:shape>
          <o:OLEObject Type="Embed" ProgID="Equation.3" ShapeID="_x0000_i1046" DrawAspect="Content" ObjectID="_1618324963" r:id="rId42"/>
        </w:object>
      </w:r>
    </w:p>
    <w:p w:rsidR="00862F58" w:rsidRDefault="00E920BF" w:rsidP="00BA15CA">
      <w:proofErr w:type="gramStart"/>
      <w:r w:rsidRPr="0087199B">
        <w:t>i</w:t>
      </w:r>
      <w:r w:rsidRPr="00980993">
        <w:rPr>
          <w:position w:val="-5"/>
          <w:sz w:val="16"/>
          <w:szCs w:val="16"/>
        </w:rPr>
        <w:t>c</w:t>
      </w:r>
      <w:proofErr w:type="gramEnd"/>
      <w:r>
        <w:t>= f</w:t>
      </w:r>
      <w:r w:rsidRPr="0087199B">
        <w:t>attore correttivo per l’inclinazione de</w:t>
      </w:r>
      <w:r w:rsidR="00862F58">
        <w:t>l carico dovuta ad un carico H (componente orizzontale del carico trasmesso in fondazione);</w:t>
      </w:r>
    </w:p>
    <w:p w:rsidR="00480272" w:rsidRPr="0087199B" w:rsidRDefault="00480272" w:rsidP="00BA15CA">
      <w:r w:rsidRPr="0087199B">
        <w:t>A</w:t>
      </w:r>
      <w:r w:rsidRPr="0087199B">
        <w:rPr>
          <w:vertAlign w:val="subscript"/>
        </w:rPr>
        <w:t>f</w:t>
      </w:r>
      <w:r w:rsidR="00E920BF">
        <w:rPr>
          <w:vertAlign w:val="subscript"/>
        </w:rPr>
        <w:t xml:space="preserve"> </w:t>
      </w:r>
      <w:r w:rsidR="00E920BF">
        <w:t xml:space="preserve">= </w:t>
      </w:r>
      <w:r w:rsidRPr="0087199B">
        <w:t>area efficace della fondazione</w:t>
      </w:r>
      <w:r w:rsidR="00862F58">
        <w:t>;</w:t>
      </w:r>
    </w:p>
    <w:p w:rsidR="00480272" w:rsidRDefault="00480272" w:rsidP="00BA15CA">
      <w:proofErr w:type="gramStart"/>
      <w:r w:rsidRPr="0087199B">
        <w:t>c</w:t>
      </w:r>
      <w:r w:rsidRPr="0087199B">
        <w:rPr>
          <w:vertAlign w:val="subscript"/>
        </w:rPr>
        <w:t>a</w:t>
      </w:r>
      <w:proofErr w:type="gramEnd"/>
      <w:r w:rsidR="00E920BF">
        <w:t xml:space="preserve"> = </w:t>
      </w:r>
      <w:r w:rsidRPr="0087199B">
        <w:t>aderenza alla base, pari alla coesione o</w:t>
      </w:r>
      <w:r w:rsidR="00862F58">
        <w:t>ppure</w:t>
      </w:r>
      <w:r w:rsidRPr="0087199B">
        <w:t xml:space="preserve"> ad una sua </w:t>
      </w:r>
      <w:r w:rsidR="00862F58">
        <w:t>frazione;</w:t>
      </w:r>
    </w:p>
    <w:p w:rsidR="007D32A9" w:rsidRPr="0087199B" w:rsidRDefault="007D32A9" w:rsidP="00BA15CA">
      <w:proofErr w:type="gramStart"/>
      <w:r>
        <w:t>m</w:t>
      </w:r>
      <w:proofErr w:type="gramEnd"/>
      <w:r>
        <w:t>= come riportato di seguito nei fattori di inclinazione del carico.</w:t>
      </w:r>
    </w:p>
    <w:p w:rsidR="00480272" w:rsidRPr="0087199B" w:rsidRDefault="00480272" w:rsidP="00BA15CA"/>
    <w:p w:rsidR="00480272" w:rsidRPr="0087199B" w:rsidRDefault="00480272" w:rsidP="00BA15CA">
      <w:r w:rsidRPr="0087199B">
        <w:t>Per le condizioni drenate il carico limite di progetto è calcolato come segue.</w:t>
      </w:r>
    </w:p>
    <w:p w:rsidR="007D32A9" w:rsidRDefault="007D32A9" w:rsidP="00BA15CA">
      <w:pPr>
        <w:jc w:val="center"/>
        <w:rPr>
          <w:color w:val="000000"/>
          <w:lang w:val="de-DE"/>
        </w:rPr>
      </w:pPr>
    </w:p>
    <w:p w:rsidR="00480272" w:rsidRPr="0087199B" w:rsidRDefault="008B0A7E" w:rsidP="00BA15CA">
      <w:pPr>
        <w:jc w:val="center"/>
      </w:pPr>
      <w:r w:rsidRPr="00980993">
        <w:rPr>
          <w:color w:val="000000"/>
          <w:position w:val="-22"/>
          <w:lang w:val="de-DE"/>
        </w:rPr>
        <w:object w:dxaOrig="7440" w:dyaOrig="580">
          <v:shape id="_x0000_i1033" type="#_x0000_t75" style="width:372pt;height:29.25pt" o:ole="">
            <v:imagedata r:id="rId43" o:title=""/>
          </v:shape>
          <o:OLEObject Type="Embed" ProgID="Equation.3" ShapeID="_x0000_i1033" DrawAspect="Content" ObjectID="_1618324964" r:id="rId44"/>
        </w:object>
      </w:r>
    </w:p>
    <w:p w:rsidR="00480272" w:rsidRPr="0087199B" w:rsidRDefault="00480272" w:rsidP="00BA15CA">
      <w:r w:rsidRPr="0087199B">
        <w:t>Dove:</w:t>
      </w:r>
    </w:p>
    <w:p w:rsidR="00480272" w:rsidRPr="0087199B" w:rsidRDefault="00870D00" w:rsidP="00BA15CA">
      <w:r w:rsidRPr="008326DA">
        <w:rPr>
          <w:position w:val="-52"/>
        </w:rPr>
        <w:object w:dxaOrig="2540" w:dyaOrig="1400">
          <v:shape id="_x0000_i1041" type="#_x0000_t75" style="width:126.75pt;height:69.75pt" o:ole="">
            <v:imagedata r:id="rId45" o:title=""/>
          </v:shape>
          <o:OLEObject Type="Embed" ProgID="Equation.3" ShapeID="_x0000_i1041" DrawAspect="Content" ObjectID="_1618324965" r:id="rId46"/>
        </w:object>
      </w:r>
    </w:p>
    <w:p w:rsidR="00480272" w:rsidRDefault="00480272" w:rsidP="00BA15CA">
      <w:pPr>
        <w:rPr>
          <w:b/>
          <w:bCs/>
        </w:rPr>
      </w:pPr>
    </w:p>
    <w:p w:rsidR="00480272" w:rsidRPr="0087199B" w:rsidRDefault="00480272" w:rsidP="00BA15CA">
      <w:pPr>
        <w:rPr>
          <w:b/>
          <w:bCs/>
        </w:rPr>
      </w:pPr>
      <w:r w:rsidRPr="0087199B">
        <w:rPr>
          <w:b/>
          <w:bCs/>
        </w:rPr>
        <w:t>Fattori di forma</w:t>
      </w:r>
    </w:p>
    <w:p w:rsidR="008326DA" w:rsidRDefault="008326DA" w:rsidP="00BA15CA">
      <w:r w:rsidRPr="008326DA">
        <w:rPr>
          <w:position w:val="-28"/>
        </w:rPr>
        <w:object w:dxaOrig="1840" w:dyaOrig="660">
          <v:shape id="_x0000_i1029" type="#_x0000_t75" style="width:92.25pt;height:33pt" o:ole="">
            <v:imagedata r:id="rId47" o:title=""/>
          </v:shape>
          <o:OLEObject Type="Embed" ProgID="Equation.3" ShapeID="_x0000_i1029" DrawAspect="Content" ObjectID="_1618324966" r:id="rId48"/>
        </w:object>
      </w:r>
    </w:p>
    <w:p w:rsidR="008326DA" w:rsidRDefault="008326DA" w:rsidP="00BA15CA">
      <w:r w:rsidRPr="008326DA">
        <w:rPr>
          <w:position w:val="-28"/>
        </w:rPr>
        <w:object w:dxaOrig="1700" w:dyaOrig="660">
          <v:shape id="_x0000_i1027" type="#_x0000_t75" style="width:84.75pt;height:33pt" o:ole="">
            <v:imagedata r:id="rId49" o:title=""/>
          </v:shape>
          <o:OLEObject Type="Embed" ProgID="Equation.3" ShapeID="_x0000_i1027" DrawAspect="Content" ObjectID="_1618324967" r:id="rId50"/>
        </w:object>
      </w:r>
    </w:p>
    <w:p w:rsidR="00480272" w:rsidRDefault="008326DA" w:rsidP="00BA15CA">
      <w:pPr>
        <w:rPr>
          <w:b/>
          <w:bCs/>
        </w:rPr>
      </w:pPr>
      <w:r w:rsidRPr="009404BC">
        <w:rPr>
          <w:position w:val="-28"/>
        </w:rPr>
        <w:object w:dxaOrig="1579" w:dyaOrig="700">
          <v:shape id="_x0000_i1028" type="#_x0000_t75" style="width:78.75pt;height:35.25pt" o:ole="">
            <v:imagedata r:id="rId51" o:title=""/>
          </v:shape>
          <o:OLEObject Type="Embed" ProgID="Equation.3" ShapeID="_x0000_i1028" DrawAspect="Content" ObjectID="_1618324968" r:id="rId52"/>
        </w:object>
      </w:r>
    </w:p>
    <w:p w:rsidR="00E66C44" w:rsidRDefault="00E66C44" w:rsidP="00BA15CA">
      <w:pPr>
        <w:rPr>
          <w:b/>
          <w:bCs/>
        </w:rPr>
      </w:pPr>
    </w:p>
    <w:p w:rsidR="00480272" w:rsidRDefault="00480272" w:rsidP="00BA15CA">
      <w:pPr>
        <w:rPr>
          <w:b/>
          <w:bCs/>
        </w:rPr>
      </w:pPr>
      <w:r w:rsidRPr="0087199B">
        <w:rPr>
          <w:b/>
          <w:bCs/>
        </w:rPr>
        <w:t>Fattori inclinazione risultante dovuta ad un carico orizzontale H parallelo a B’</w:t>
      </w:r>
    </w:p>
    <w:p w:rsidR="00480272" w:rsidRDefault="008B0A7E" w:rsidP="00BA15CA">
      <w:pPr>
        <w:rPr>
          <w:b/>
          <w:bCs/>
          <w:position w:val="-48"/>
        </w:rPr>
      </w:pPr>
      <w:r w:rsidRPr="009404BC">
        <w:rPr>
          <w:b/>
          <w:bCs/>
          <w:position w:val="-30"/>
        </w:rPr>
        <w:object w:dxaOrig="2720" w:dyaOrig="800">
          <v:shape id="_x0000_i1036" type="#_x0000_t75" style="width:135.75pt;height:39.75pt" o:ole="">
            <v:imagedata r:id="rId53" o:title=""/>
          </v:shape>
          <o:OLEObject Type="Embed" ProgID="Equation.3" ShapeID="_x0000_i1036" DrawAspect="Content" ObjectID="_1618324969" r:id="rId54"/>
        </w:object>
      </w:r>
    </w:p>
    <w:p w:rsidR="00480272" w:rsidRDefault="008326DA" w:rsidP="00BA15CA">
      <w:pPr>
        <w:rPr>
          <w:b/>
          <w:bCs/>
        </w:rPr>
      </w:pPr>
      <w:r w:rsidRPr="00FA45E8">
        <w:rPr>
          <w:b/>
          <w:bCs/>
          <w:position w:val="-30"/>
        </w:rPr>
        <w:object w:dxaOrig="2980" w:dyaOrig="800">
          <v:shape id="_x0000_i1026" type="#_x0000_t75" style="width:149.25pt;height:39.75pt" o:ole="">
            <v:imagedata r:id="rId55" o:title=""/>
          </v:shape>
          <o:OLEObject Type="Embed" ProgID="Equation.3" ShapeID="_x0000_i1026" DrawAspect="Content" ObjectID="_1618324970" r:id="rId56"/>
        </w:object>
      </w:r>
    </w:p>
    <w:p w:rsidR="00480272" w:rsidRPr="0087199B" w:rsidRDefault="008B0A7E" w:rsidP="00BA15CA">
      <w:r w:rsidRPr="00777AAD">
        <w:rPr>
          <w:b/>
          <w:bCs/>
          <w:position w:val="-58"/>
        </w:rPr>
        <w:object w:dxaOrig="1860" w:dyaOrig="1280">
          <v:shape id="_x0000_i1035" type="#_x0000_t75" style="width:93pt;height:63.75pt" o:ole="">
            <v:imagedata r:id="rId57" o:title=""/>
          </v:shape>
          <o:OLEObject Type="Embed" ProgID="Equation.3" ShapeID="_x0000_i1035" DrawAspect="Content" ObjectID="_1618324971" r:id="rId58"/>
        </w:object>
      </w:r>
    </w:p>
    <w:p w:rsidR="008B0A7E" w:rsidRDefault="008B0A7E" w:rsidP="00922FE7">
      <w:pPr>
        <w:rPr>
          <w:b/>
          <w:bCs/>
        </w:rPr>
      </w:pPr>
    </w:p>
    <w:p w:rsidR="00922FE7" w:rsidRDefault="00922FE7" w:rsidP="00922FE7">
      <w:pPr>
        <w:rPr>
          <w:b/>
          <w:bCs/>
        </w:rPr>
      </w:pPr>
      <w:r w:rsidRPr="0087199B">
        <w:rPr>
          <w:b/>
          <w:bCs/>
        </w:rPr>
        <w:t xml:space="preserve">Fattori </w:t>
      </w:r>
      <w:r>
        <w:rPr>
          <w:b/>
          <w:bCs/>
        </w:rPr>
        <w:t>inclinazione fondazione a vallle</w:t>
      </w:r>
    </w:p>
    <w:p w:rsidR="00A02381" w:rsidRDefault="008B0A7E" w:rsidP="00BA15CA">
      <w:pPr>
        <w:rPr>
          <w:position w:val="-14"/>
        </w:rPr>
      </w:pPr>
      <w:r w:rsidRPr="008326DA">
        <w:rPr>
          <w:position w:val="-14"/>
        </w:rPr>
        <w:object w:dxaOrig="2380" w:dyaOrig="440">
          <v:shape id="_x0000_i1034" type="#_x0000_t75" style="width:119.25pt;height:21.75pt" o:ole="">
            <v:imagedata r:id="rId59" o:title=""/>
          </v:shape>
          <o:OLEObject Type="Embed" ProgID="Equation.3" ShapeID="_x0000_i1034" DrawAspect="Content" ObjectID="_1618324972" r:id="rId60"/>
        </w:object>
      </w:r>
    </w:p>
    <w:p w:rsidR="008326DA" w:rsidRDefault="00870D00" w:rsidP="00BA15CA">
      <w:pPr>
        <w:rPr>
          <w:position w:val="-14"/>
        </w:rPr>
      </w:pPr>
      <w:r w:rsidRPr="008326DA">
        <w:rPr>
          <w:position w:val="-22"/>
        </w:rPr>
        <w:object w:dxaOrig="1200" w:dyaOrig="580">
          <v:shape id="_x0000_i1042" type="#_x0000_t75" style="width:60pt;height:29.25pt" o:ole="">
            <v:imagedata r:id="rId61" o:title=""/>
          </v:shape>
          <o:OLEObject Type="Embed" ProgID="Equation.3" ShapeID="_x0000_i1042" DrawAspect="Content" ObjectID="_1618324973" r:id="rId62"/>
        </w:object>
      </w:r>
    </w:p>
    <w:p w:rsidR="007D32A9" w:rsidRDefault="007D32A9" w:rsidP="008326DA">
      <w:pPr>
        <w:rPr>
          <w:b/>
          <w:bCs/>
        </w:rPr>
      </w:pPr>
    </w:p>
    <w:p w:rsidR="008326DA" w:rsidRDefault="008326DA" w:rsidP="008326DA">
      <w:pPr>
        <w:rPr>
          <w:b/>
          <w:bCs/>
        </w:rPr>
      </w:pPr>
      <w:r w:rsidRPr="0087199B">
        <w:rPr>
          <w:b/>
          <w:bCs/>
        </w:rPr>
        <w:t xml:space="preserve">Fattori </w:t>
      </w:r>
      <w:r>
        <w:rPr>
          <w:b/>
          <w:bCs/>
        </w:rPr>
        <w:t>di profondità</w:t>
      </w:r>
    </w:p>
    <w:p w:rsidR="008326DA" w:rsidRDefault="00870D00" w:rsidP="008326DA">
      <w:pPr>
        <w:rPr>
          <w:position w:val="-14"/>
        </w:rPr>
      </w:pPr>
      <w:r w:rsidRPr="008326DA">
        <w:rPr>
          <w:position w:val="-14"/>
        </w:rPr>
        <w:object w:dxaOrig="2720" w:dyaOrig="360">
          <v:shape id="_x0000_i1043" type="#_x0000_t75" style="width:135.75pt;height:18pt" o:ole="">
            <v:imagedata r:id="rId63" o:title=""/>
          </v:shape>
          <o:OLEObject Type="Embed" ProgID="Equation.3" ShapeID="_x0000_i1043" DrawAspect="Content" ObjectID="_1618324974" r:id="rId64"/>
        </w:object>
      </w:r>
    </w:p>
    <w:p w:rsidR="008326DA" w:rsidRDefault="008326DA" w:rsidP="008326DA">
      <w:r w:rsidRPr="008326DA">
        <w:rPr>
          <w:position w:val="-14"/>
        </w:rPr>
        <w:object w:dxaOrig="639" w:dyaOrig="360">
          <v:shape id="_x0000_i1025" type="#_x0000_t75" style="width:32.25pt;height:18pt" o:ole="">
            <v:imagedata r:id="rId65" o:title=""/>
          </v:shape>
          <o:OLEObject Type="Embed" ProgID="Equation.3" ShapeID="_x0000_i1025" DrawAspect="Content" ObjectID="_1618324975" r:id="rId66"/>
        </w:object>
      </w:r>
      <w:r>
        <w:tab/>
      </w:r>
    </w:p>
    <w:p w:rsidR="008326DA" w:rsidRDefault="007D32A9" w:rsidP="008326DA">
      <w:pPr>
        <w:rPr>
          <w:position w:val="-14"/>
        </w:rPr>
      </w:pPr>
      <w:r w:rsidRPr="008326DA">
        <w:rPr>
          <w:position w:val="-10"/>
        </w:rPr>
        <w:object w:dxaOrig="1380" w:dyaOrig="320">
          <v:shape id="_x0000_i1058" type="#_x0000_t75" style="width:69pt;height:15.75pt" o:ole="">
            <v:imagedata r:id="rId67" o:title=""/>
          </v:shape>
          <o:OLEObject Type="Embed" ProgID="Equation.3" ShapeID="_x0000_i1058" DrawAspect="Content" ObjectID="_1618324976" r:id="rId68"/>
        </w:object>
      </w:r>
    </w:p>
    <w:p w:rsidR="007D32A9" w:rsidRDefault="007D32A9" w:rsidP="008326DA">
      <w:pPr>
        <w:rPr>
          <w:position w:val="-14"/>
        </w:rPr>
      </w:pPr>
    </w:p>
    <w:p w:rsidR="007D32A9" w:rsidRDefault="007D32A9" w:rsidP="008326DA">
      <w:pPr>
        <w:rPr>
          <w:position w:val="-14"/>
        </w:rPr>
      </w:pPr>
      <w:r>
        <w:rPr>
          <w:position w:val="-14"/>
        </w:rPr>
        <w:t>Dove:</w:t>
      </w:r>
    </w:p>
    <w:p w:rsidR="008326DA" w:rsidRDefault="00870D00" w:rsidP="00BA15CA">
      <w:pPr>
        <w:rPr>
          <w:position w:val="-14"/>
        </w:rPr>
      </w:pPr>
      <w:r w:rsidRPr="008B0A7E">
        <w:rPr>
          <w:position w:val="-22"/>
        </w:rPr>
        <w:object w:dxaOrig="1480" w:dyaOrig="580">
          <v:shape id="_x0000_i1044" type="#_x0000_t75" style="width:74.25pt;height:29.25pt" o:ole="">
            <v:imagedata r:id="rId69" o:title=""/>
          </v:shape>
          <o:OLEObject Type="Embed" ProgID="Equation.3" ShapeID="_x0000_i1044" DrawAspect="Content" ObjectID="_1618324977" r:id="rId70"/>
        </w:object>
      </w:r>
      <w:r w:rsidR="008B0A7E">
        <w:rPr>
          <w:position w:val="-14"/>
        </w:rPr>
        <w:t xml:space="preserve"> </w:t>
      </w:r>
    </w:p>
    <w:p w:rsidR="008B0A7E" w:rsidRDefault="00870D00" w:rsidP="00BA15CA">
      <w:pPr>
        <w:rPr>
          <w:position w:val="-14"/>
        </w:rPr>
      </w:pPr>
      <w:r w:rsidRPr="008B0A7E">
        <w:rPr>
          <w:position w:val="-22"/>
        </w:rPr>
        <w:object w:dxaOrig="2040" w:dyaOrig="580">
          <v:shape id="_x0000_i1045" type="#_x0000_t75" style="width:102pt;height:29.25pt" o:ole="">
            <v:imagedata r:id="rId71" o:title=""/>
          </v:shape>
          <o:OLEObject Type="Embed" ProgID="Equation.3" ShapeID="_x0000_i1045" DrawAspect="Content" ObjectID="_1618324978" r:id="rId72"/>
        </w:object>
      </w:r>
    </w:p>
    <w:p w:rsidR="00862F58" w:rsidRDefault="00862F58" w:rsidP="00BA15CA">
      <w:pPr>
        <w:rPr>
          <w:position w:val="-14"/>
        </w:rPr>
      </w:pPr>
      <w:r>
        <w:rPr>
          <w:position w:val="-14"/>
        </w:rPr>
        <w:t>V= carico verticale totale sulla fondazione;</w:t>
      </w:r>
    </w:p>
    <w:p w:rsidR="00862F58" w:rsidRDefault="00862F58" w:rsidP="00BA15CA">
      <w:pPr>
        <w:rPr>
          <w:position w:val="-14"/>
        </w:rPr>
      </w:pPr>
      <w:r>
        <w:rPr>
          <w:position w:val="-14"/>
        </w:rPr>
        <w:t>D= profondità della fondazione nel terreno</w:t>
      </w:r>
    </w:p>
    <w:p w:rsidR="00862F58" w:rsidRDefault="00862F58" w:rsidP="00BA15CA">
      <w:r>
        <w:rPr>
          <w:position w:val="-14"/>
        </w:rPr>
        <w:sym w:font="Symbol" w:char="F068"/>
      </w:r>
      <w:r>
        <w:rPr>
          <w:position w:val="-14"/>
        </w:rPr>
        <w:t>= inclinazione del piano di fondazione sull’orizzontale, positiva verso l’alto.</w:t>
      </w:r>
    </w:p>
    <w:sectPr w:rsidR="00862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72"/>
    <w:rsid w:val="00272B39"/>
    <w:rsid w:val="003332BE"/>
    <w:rsid w:val="00480272"/>
    <w:rsid w:val="00501DDE"/>
    <w:rsid w:val="005749B5"/>
    <w:rsid w:val="006062A1"/>
    <w:rsid w:val="007D32A9"/>
    <w:rsid w:val="008326DA"/>
    <w:rsid w:val="00862F58"/>
    <w:rsid w:val="00870D00"/>
    <w:rsid w:val="008B0A7E"/>
    <w:rsid w:val="008B29E5"/>
    <w:rsid w:val="00922FE7"/>
    <w:rsid w:val="00A02381"/>
    <w:rsid w:val="00AA6252"/>
    <w:rsid w:val="00BA15CA"/>
    <w:rsid w:val="00C47075"/>
    <w:rsid w:val="00E66C44"/>
    <w:rsid w:val="00E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F44466-AC44-4542-8F31-813F2E5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802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image" Target="media/image3.wmf"/><Relationship Id="rId7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Win10Pro</cp:lastModifiedBy>
  <cp:revision>6</cp:revision>
  <dcterms:created xsi:type="dcterms:W3CDTF">2019-05-02T09:13:00Z</dcterms:created>
  <dcterms:modified xsi:type="dcterms:W3CDTF">2019-05-02T15:51:00Z</dcterms:modified>
</cp:coreProperties>
</file>